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当雄县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2024年预算绩效管理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工作总结的报告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"/>
        </w:rPr>
        <w:t>2024年，当雄县财政局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以预算项目绩效管理为抓手，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强化绩效主体责任。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探索以“成本效益并重”为核心的预算绩效管理新模式，打通“花钱必问效、无效必问责”的绩效管理闭环，形成预算安排有据、跟踪到位、评价有效、应用有力的良性循环，显著提升了财政资金配置的科学性和精准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仿宋" w:eastAsia="方正楷体_GBK" w:cs="仿宋"/>
          <w:b w:val="0"/>
          <w:bCs/>
          <w:kern w:val="2"/>
          <w:sz w:val="32"/>
          <w:szCs w:val="32"/>
          <w:lang w:val="en-US" w:eastAsia="zh-CN" w:bidi="ar"/>
        </w:rPr>
        <w:t>（一）讲绩效、重实效，夯实绩效目标管理根基。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财政局坚持“先谋划项目、后确定预算”原则，积极推动部门转变观念，变“临时抱佛脚”为“常态化储备”，提前谋划、滚动申报项目库；预算单位编制预算、设定目标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时严格执行一体化系统“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通用+专用”绩效指标库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相关规范要求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，为后续科学、客观、公平地评价项目成效奠定坚实基础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；年底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要聚焦民生保障、生态环保、城市建设、农业农村等重点领域开展重点项目绩效评价工作，出具报告6份，共涉及财政资金6811.62万元。最高评价得分86.5分，最低评价得分71.2分，其中评定级别为“良”的占比50%，评定级别为“中”的占比50%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 w:firstLineChars="150"/>
        <w:jc w:val="both"/>
        <w:textAlignment w:val="auto"/>
        <w:rPr>
          <w:rFonts w:hint="eastAsia" w:ascii="方正仿宋_GBK" w:hAnsi="仿宋" w:eastAsia="方正仿宋_GBK" w:cs="仿宋"/>
          <w:sz w:val="32"/>
          <w:szCs w:val="32"/>
          <w:lang w:val="en-US"/>
        </w:rPr>
      </w:pPr>
      <w:r>
        <w:rPr>
          <w:rFonts w:hint="eastAsia" w:ascii="方正楷体_GBK" w:hAnsi="仿宋" w:eastAsia="方正楷体_GBK" w:cs="仿宋"/>
          <w:b w:val="0"/>
          <w:bCs/>
          <w:kern w:val="2"/>
          <w:sz w:val="32"/>
          <w:szCs w:val="32"/>
          <w:lang w:val="en-US" w:eastAsia="zh-CN" w:bidi="ar"/>
        </w:rPr>
        <w:t>（二）以强化管理意识提高资金使用质效。</w:t>
      </w:r>
      <w:r>
        <w:rPr>
          <w:rFonts w:hint="eastAsia" w:ascii="方正仿宋_GBK" w:hAnsi="仿宋" w:eastAsia="方正仿宋_GBK" w:cs="仿宋"/>
          <w:b/>
          <w:bCs w:val="0"/>
          <w:kern w:val="2"/>
          <w:sz w:val="32"/>
          <w:szCs w:val="32"/>
          <w:lang w:val="en-US" w:eastAsia="zh-CN" w:bidi="ar"/>
        </w:rPr>
        <w:t>一是</w:t>
      </w:r>
      <w:r>
        <w:rPr>
          <w:rFonts w:hint="eastAsia" w:ascii="方正仿宋_GBK" w:hAnsi="仿宋" w:eastAsia="方正仿宋_GBK" w:cs="仿宋"/>
          <w:kern w:val="2"/>
          <w:sz w:val="32"/>
          <w:szCs w:val="32"/>
          <w:lang w:val="en-US" w:eastAsia="zh-CN" w:bidi="ar"/>
        </w:rPr>
        <w:t>加强培训与教育。针对财政部门工作人员、预算单位负责人和财务人员等不同群体，开展财政资金绩效管理专题培训。培训内容包括绩效管理的政策法规、方法流程、案例分析等，提高他们对绩效管理的认识和操作能力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强化绩效主体责任。将预算部门（单位）绩效自评作为次年预算安排的前置条件，压实预算部门（单位）绩效自评的主体责任，按照“谁花钱谁绩效”的原则做好绩效自评工作。三</w:t>
      </w:r>
      <w:r>
        <w:rPr>
          <w:rFonts w:hint="eastAsia" w:ascii="方正仿宋_GBK" w:hAnsi="仿宋" w:eastAsia="方正仿宋_GBK" w:cs="仿宋"/>
          <w:b/>
          <w:bCs w:val="0"/>
          <w:kern w:val="2"/>
          <w:sz w:val="32"/>
          <w:szCs w:val="32"/>
          <w:lang w:val="en-US" w:eastAsia="zh-CN" w:bidi="ar"/>
        </w:rPr>
        <w:t>是</w:t>
      </w:r>
      <w:r>
        <w:rPr>
          <w:rFonts w:hint="eastAsia" w:ascii="方正仿宋_GBK" w:hAnsi="仿宋" w:eastAsia="方正仿宋_GBK" w:cs="仿宋"/>
          <w:kern w:val="2"/>
          <w:sz w:val="32"/>
          <w:szCs w:val="32"/>
          <w:lang w:val="en-US" w:eastAsia="zh-CN" w:bidi="ar"/>
        </w:rPr>
        <w:t>领导带头示范。各级领导干部要高度重视财政资金绩效管理工作，带头学习和宣传绩效管理政策，在工作中切实履行绩效管理职责。通过领导示范，带动全体干部职工树立绩效管理思想。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 w:firstLineChars="150"/>
        <w:jc w:val="both"/>
        <w:textAlignment w:val="auto"/>
        <w:rPr>
          <w:rFonts w:hint="eastAsia" w:ascii="方正仿宋_GBK" w:hAnsi="仿宋" w:eastAsia="方正仿宋_GBK" w:cs="仿宋"/>
          <w:sz w:val="32"/>
          <w:szCs w:val="32"/>
          <w:lang w:val="en-US"/>
        </w:rPr>
      </w:pPr>
      <w:r>
        <w:rPr>
          <w:rFonts w:hint="eastAsia" w:ascii="方正楷体_GBK" w:hAnsi="仿宋" w:eastAsia="方正楷体_GBK" w:cs="仿宋"/>
          <w:b w:val="0"/>
          <w:bCs/>
          <w:kern w:val="2"/>
          <w:sz w:val="32"/>
          <w:szCs w:val="32"/>
          <w:lang w:val="en-US" w:eastAsia="zh-CN" w:bidi="ar"/>
        </w:rPr>
        <w:t>（三）以加强监管提高资金使用质效。</w:t>
      </w:r>
      <w:r>
        <w:rPr>
          <w:rFonts w:hint="eastAsia" w:ascii="方正仿宋_GBK" w:hAnsi="仿宋" w:eastAsia="方正仿宋_GBK" w:cs="仿宋"/>
          <w:kern w:val="2"/>
          <w:sz w:val="32"/>
          <w:szCs w:val="32"/>
          <w:lang w:val="en-US" w:eastAsia="zh-CN" w:bidi="ar"/>
        </w:rPr>
        <w:t>资金使用部门应严格落实采购工作要求、资金审批制度、单位内控制度等规定，确保制度执行到位，资金支付有章可循，确保资金使用的合规性和透明度，真正做到“会花钱、少花钱、花好钱”。财政部门进一步完善项目库管理办法，对资金使用项目开展更为科学有效的事前绩效评估，为资金的合理应用创造基础条件；通过开展预算执行动</w:t>
      </w:r>
      <w:bookmarkStart w:id="0" w:name="_GoBack"/>
      <w:bookmarkEnd w:id="0"/>
      <w:r>
        <w:rPr>
          <w:rFonts w:hint="eastAsia" w:ascii="方正仿宋_GBK" w:hAnsi="仿宋" w:eastAsia="方正仿宋_GBK" w:cs="仿宋"/>
          <w:kern w:val="2"/>
          <w:sz w:val="32"/>
          <w:szCs w:val="32"/>
          <w:lang w:val="en-US" w:eastAsia="zh-CN" w:bidi="ar"/>
        </w:rPr>
        <w:t>态监督管理，日常核查异常列支费用，确保预算执行规范有效，严守财经纪律“高压线”。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_GBK" w:hAnsi="仿宋" w:eastAsia="方正仿宋_GBK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方正楷体_GBK" w:hAnsi="仿宋" w:eastAsia="方正楷体_GBK" w:cs="仿宋"/>
          <w:b w:val="0"/>
          <w:bCs/>
          <w:kern w:val="2"/>
          <w:sz w:val="32"/>
          <w:szCs w:val="32"/>
          <w:lang w:val="en-US" w:eastAsia="zh-CN" w:bidi="ar"/>
        </w:rPr>
        <w:t>（四）以整改落实行动提高资金使用质效。</w:t>
      </w:r>
      <w:r>
        <w:rPr>
          <w:rFonts w:hint="eastAsia" w:ascii="方正仿宋_GBK" w:hAnsi="仿宋" w:eastAsia="方正仿宋_GBK" w:cs="仿宋"/>
          <w:kern w:val="2"/>
          <w:sz w:val="32"/>
          <w:szCs w:val="32"/>
          <w:lang w:val="en-US" w:eastAsia="zh-CN" w:bidi="ar"/>
        </w:rPr>
        <w:t>各预算部门（单位）要切实贯彻落实习近平总书记“要提高政治站位，通过管好‘钱袋子’‘账本子’，推动规范用权，及时校准纠偏，严肃财经纪律”的指示精神，根据中共中央办公厅和国务院办公厅印发的《关于进一步加强财会监督工作的意见》，把讲政治摆在首位，坚持问题导向、目标导向和效果导向，牢牢把握严肃财政纪律的总要求，举一反三，切实纠正资金使用不规范、执行程序不合规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mQ1N2JjYTlkOTdkMmU4YTRlZTFjYWFmZjgxNmQifQ=="/>
  </w:docVars>
  <w:rsids>
    <w:rsidRoot w:val="4F586B50"/>
    <w:rsid w:val="095E1BC0"/>
    <w:rsid w:val="18201FF8"/>
    <w:rsid w:val="29843406"/>
    <w:rsid w:val="4B044AA6"/>
    <w:rsid w:val="4F586B50"/>
    <w:rsid w:val="7BAC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2025-10-14T08:14:00Z</dcterms:created>
  <dc:creator>CN=贾雪/OU=国库科/OU=拉萨市财政局/OU=西藏自治区财政厅/O=TIBET</dc:creator>
  <cp:lastModifiedBy>谭铁亮</cp:lastModifiedBy>
  <dcterms:modified xsi:type="dcterms:W3CDTF">2025-10-14T09:19:41Z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603557B9B1314C429129AE917FBF9947_12</vt:lpwstr>
  </property>
</Properties>
</file>