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当雄县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2024年一般公共预算“三公”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经费决算情况说明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2024年，全县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经费财政拨款支出合计1,16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5.87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万元，比上年同期增加266万元，增长29.57%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，比预算数减少212.29万元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主要是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当雄县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部门严格落实过紧日子要求，厉行节约，从严控制和压缩“三公”经费支出，公务接待支出减少。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务接待费1.31万元，为县人民政府接待东城区党政代表团赴当雄县调研支出；因公出国（境）费用4.98万元；公务用车运行维护费801.02万元，同比减少4.73万元，下降0.59%；公务用车购置费358.56万元，同比增加264.5万元，增长281.2%，2024年当雄县新增公车15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C43C5"/>
    <w:rsid w:val="095E1BC0"/>
    <w:rsid w:val="18201FF8"/>
    <w:rsid w:val="29843406"/>
    <w:rsid w:val="2F9C43C5"/>
    <w:rsid w:val="4B04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2025-10-14T08:29:00Z</dcterms:created>
  <dc:creator>CN=贾雪/OU=国库科/OU=拉萨市财政局/OU=西藏自治区财政厅/O=TIBET</dc:creator>
  <cp:lastModifiedBy>CN=贾雪/OU=国库科/OU=拉萨市财政局/OU=西藏自治区财政厅/O=TIBET</cp:lastModifiedBy>
  <dcterms:modified xsi:type="dcterms:W3CDTF">2025-10-14T08:38:55Z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