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  <w:highlight w:val="none"/>
        </w:rPr>
        <w:t>当雄县202</w:t>
      </w:r>
      <w:r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  <w:highlight w:val="none"/>
        </w:rPr>
        <w:t>年财政收支决算</w:t>
      </w:r>
      <w:r>
        <w:rPr>
          <w:rFonts w:hint="eastAsia" w:eastAsia="方正小标宋_GBK" w:cs="Times New Roman"/>
          <w:bCs/>
          <w:color w:val="000000"/>
          <w:sz w:val="44"/>
          <w:szCs w:val="44"/>
          <w:highlight w:val="none"/>
          <w:lang w:eastAsia="zh-CN"/>
        </w:rPr>
        <w:t>分析</w:t>
      </w:r>
      <w:r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  <w:highlight w:val="none"/>
        </w:rPr>
        <w:t>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eastAsia="方正仿宋_GBK" w:cs="Times New Roman"/>
          <w:bCs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bCs/>
          <w:sz w:val="32"/>
          <w:szCs w:val="32"/>
          <w:highlight w:val="none"/>
          <w:lang w:val="en-US" w:eastAsia="zh-CN"/>
        </w:rPr>
        <w:t>根据2024年财政总决算编制要求，《当雄县2024年财政收支决算和2025年上半年财政预算执行情况的报告》已编制报县人大常委会审查，现将2024年总决算收支分析如下：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  <w:highlight w:val="none"/>
        </w:rPr>
        <w:t>一、202</w:t>
      </w:r>
      <w:r>
        <w:rPr>
          <w:rFonts w:hint="default" w:ascii="Times New Roman" w:hAnsi="Times New Roman" w:eastAsia="方正黑体_GBK" w:cs="Times New Roman"/>
          <w:bCs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黑体_GBK" w:cs="Times New Roman"/>
          <w:bCs/>
          <w:sz w:val="32"/>
          <w:szCs w:val="32"/>
          <w:highlight w:val="none"/>
        </w:rPr>
        <w:t>年</w:t>
      </w:r>
      <w:r>
        <w:rPr>
          <w:rFonts w:hint="eastAsia" w:eastAsia="方正黑体_GBK" w:cs="Times New Roman"/>
          <w:bCs/>
          <w:sz w:val="32"/>
          <w:szCs w:val="32"/>
          <w:highlight w:val="none"/>
          <w:lang w:val="en-US" w:eastAsia="zh-CN"/>
        </w:rPr>
        <w:t>财政收支决算情况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度，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本级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财政收支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决算情况总体较好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lang w:val="en-US" w:eastAsia="zh-CN"/>
        </w:rPr>
        <w:t>一）</w:t>
      </w:r>
      <w:r>
        <w:rPr>
          <w:rFonts w:hint="eastAsia" w:ascii="Times New Roman" w:hAnsi="Times New Roman" w:eastAsia="方正楷体_GBK" w:cs="Times New Roman"/>
          <w:sz w:val="32"/>
          <w:szCs w:val="32"/>
          <w:highlight w:val="none"/>
          <w:lang w:val="en-US" w:eastAsia="zh-CN"/>
        </w:rPr>
        <w:t>财政收支决算情况。</w:t>
      </w:r>
      <w:r>
        <w:rPr>
          <w:rFonts w:hint="eastAsia" w:eastAsia="方正仿宋_GBK" w:cs="Times New Roman"/>
          <w:b/>
          <w:bCs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一般公共预算收支决算情况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2024年全县一般公共预算总财力234,481万元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其中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一般公共预算收入11,017万元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上级补助收入150,485万元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上年结余收入3,037万元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调入资金43万元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债务转贷收入7,499万元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动用预算稳定调节基金62,400万元。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从收入决算情况看，2024年全县一般公共预算收入11,017万元，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完成年初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预算的73.45%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其中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税收收入6,651万元，非税收入4,366万元。从支出决算情况看，全年总体收支平衡。2024年全县一般公共预算支出188,898万元，同比增长7.19%；上解上级支出9,606万元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同比增长136.31%；债务还本支出7,499万元；年末安排预算稳定调解基金28,478万元，同比下降58.8%。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2024年，全县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三公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经费财政拨款支出合计1,16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5.87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万元，比上年同期增加266万元，增长29.57%。其中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公务接待费1.31万元，为县人民政府接待东城区党政代表团赴当雄县调研支出；因公出国（境）费用4.98万元；公务用车运行维护费801.02万元，同比减少4.73万元，下降0.59%；公务用车购置费358.56万元，同比增加264.5万元，增长281.2%，2024年当雄县新增公车15辆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b/>
          <w:bCs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政府性基金收支决算情况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2024年全县政府性基金预算财力7,080万元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其中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政府性基金预算收入570万元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转移性收入4,375万元，上年结转收入2,135万元。全县政府性基金预算支出完成3,543万元，年末结转3,537万元。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b/>
          <w:bCs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国有资本经营预算收支决算情况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2024年全县国有资本经营预算财力509万元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其中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国有资本经营预算收入144万元，上年结余收入365万元。国有资本经营预算支出111万元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调出到一般公共预算资金43万元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年末结转355万元。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b/>
          <w:bCs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援藏资金收支情况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2024年当雄县收到北京市计划内援藏资金5,705万元，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实施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援藏项目共18个，支出4,51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万元，年末结转1,19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万元。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b/>
          <w:bCs/>
          <w:sz w:val="32"/>
          <w:szCs w:val="32"/>
          <w:highlight w:val="none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地方政府债务情况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2024年地方政府存量债务余额61,444万元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其中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一般债务余额53,444万元，专项债务余额8,000万元。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yellow"/>
          <w:u w:val="none"/>
          <w:lang w:val="en-US" w:eastAsia="zh-CN"/>
        </w:rPr>
      </w:pPr>
      <w:r>
        <w:rPr>
          <w:rFonts w:hint="eastAsia" w:ascii="Times New Roman" w:hAnsi="Times New Roman" w:eastAsia="方正楷体_GBK" w:cs="Times New Roman"/>
          <w:sz w:val="32"/>
          <w:szCs w:val="32"/>
          <w:highlight w:val="none"/>
          <w:lang w:val="en-US" w:eastAsia="zh-CN"/>
        </w:rPr>
        <w:t>（二）围绕重点工作，服务经济大局。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坚持教育优先，落实资金33,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820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万元，支持义务教育薄弱环节改善与能力提升建设等。坚持全面推进乡村振兴，落实资金17,943万元，支持22个巩固脱贫攻坚成果衔接乡村振兴项目建设。坚持就业优先，落实资金1,84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万元，加大就业岗位开发力度。坚持健康优先，落实资金1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,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060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万元，推动卫生健康事业再上新台阶。兜牢民生底线，民生支出占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一般公共预算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支出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82.85%，切实保障民生福祉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坚持高品质城市建设，落实资金30,760万元用于县城节能环保智慧水务工程、贯通铁路南北区基础设施、县城市市政管网升级改造工程等项目，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不断提升居民生活质量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val="en-US" w:eastAsia="zh-CN"/>
        </w:rPr>
        <w:t>（三）强化制度保障，严肃财经纪律。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健全财政制度，简化报销流程，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优化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资金拨付审批表，优减9项、新增1项、修改2项，制定详细报销流程图。规范财政收支行为，制定《当雄县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财政局关于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加强财会监督工作的实施方案》，先后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10余次，赴20余家预算单位，开展财会监督检查，发现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反馈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整改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问题40余项。规范政府采购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召开政府采购工作领导小组联席会议1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8场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次，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研究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采购议题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余项，涉及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资金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1.69亿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元。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强化公车管理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持续加强全县公务用车使用的日常监督，通过定期检查、随机抽查等方式，及时发现并纠正违规用车行为，喷涂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公车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标识码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200</w:t>
      </w:r>
      <w:r>
        <w:rPr>
          <w:rFonts w:hint="eastAsia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余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份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</w:rPr>
        <w:t>二、</w:t>
      </w:r>
      <w:r>
        <w:rPr>
          <w:rFonts w:hint="eastAsia" w:eastAsia="方正黑体_GBK" w:cs="Times New Roman"/>
          <w:color w:val="auto"/>
          <w:sz w:val="32"/>
          <w:szCs w:val="32"/>
          <w:highlight w:val="none"/>
          <w:lang w:eastAsia="zh-CN"/>
        </w:rPr>
        <w:t>下一步工作计划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加强组织财政收入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与税务部门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通力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协作，引导外阜企业在本县依法预缴税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费，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同时统筹保障耕地占用税欠缴资金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加大非税收入清缴力度。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加快预算支出执行，常态化开展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预算执行专项督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导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推动项目建设与资金支出进度同步，持续落实支出风险预警提示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制度。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科学规划财政资金，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开展2026年预算编制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保障重点领域和关键环节资金需求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，扎实推进预算中期调整，并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与各预算单位执行进度挂钩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四是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强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化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财会监督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管理，定期实施财会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监督，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修订《当雄县政府采购内部管理制度》，制定《当雄县政府采购实施流程指引》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pStyle w:val="5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69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-287655</wp:posOffset>
              </wp:positionV>
              <wp:extent cx="1828800" cy="39116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91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2.65pt;height:30.8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DZ5RGnVAAAABwEAAA8AAAAAAAAAAQAgAAAAIgAAAGRy&#10;cy9kb3ducmV2LnhtbFBLAQIUABQAAAAIAIdO4kCjTNJGzwEAAJUDAAAOAAAAAAAAAAEAIAAAACQ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1MmQ1N2JjYTlkOTdkMmU4YTRlZTFjYWFmZjgxNmQifQ=="/>
  </w:docVars>
  <w:rsids>
    <w:rsidRoot w:val="4FDC3273"/>
    <w:rsid w:val="03F2380D"/>
    <w:rsid w:val="04552FA0"/>
    <w:rsid w:val="06E75EE2"/>
    <w:rsid w:val="08F233ED"/>
    <w:rsid w:val="095143A1"/>
    <w:rsid w:val="095E1BC0"/>
    <w:rsid w:val="09783744"/>
    <w:rsid w:val="0A826C13"/>
    <w:rsid w:val="0B6F47E7"/>
    <w:rsid w:val="0CE06CC9"/>
    <w:rsid w:val="0D26294C"/>
    <w:rsid w:val="10EA531D"/>
    <w:rsid w:val="145E23F1"/>
    <w:rsid w:val="155C2D6C"/>
    <w:rsid w:val="181E7C61"/>
    <w:rsid w:val="19483EA2"/>
    <w:rsid w:val="199F4270"/>
    <w:rsid w:val="1C6E151D"/>
    <w:rsid w:val="268C70A1"/>
    <w:rsid w:val="29843406"/>
    <w:rsid w:val="2B0757AA"/>
    <w:rsid w:val="2B3852E4"/>
    <w:rsid w:val="2E694F72"/>
    <w:rsid w:val="32FD5DF0"/>
    <w:rsid w:val="33E55531"/>
    <w:rsid w:val="33FB2C3C"/>
    <w:rsid w:val="3A13460F"/>
    <w:rsid w:val="3F1B07AC"/>
    <w:rsid w:val="41F1248D"/>
    <w:rsid w:val="422A53FF"/>
    <w:rsid w:val="42C14DF9"/>
    <w:rsid w:val="4A1F287F"/>
    <w:rsid w:val="4A62250E"/>
    <w:rsid w:val="4D424B1B"/>
    <w:rsid w:val="4FDC3273"/>
    <w:rsid w:val="529B08CD"/>
    <w:rsid w:val="5840086B"/>
    <w:rsid w:val="58536109"/>
    <w:rsid w:val="5A6800CD"/>
    <w:rsid w:val="5ED6322F"/>
    <w:rsid w:val="5F0E1E0E"/>
    <w:rsid w:val="6319519D"/>
    <w:rsid w:val="641044F4"/>
    <w:rsid w:val="65B01064"/>
    <w:rsid w:val="674A56A8"/>
    <w:rsid w:val="68AD4DE1"/>
    <w:rsid w:val="69E866D4"/>
    <w:rsid w:val="6BFF7943"/>
    <w:rsid w:val="6CA63541"/>
    <w:rsid w:val="6E747D85"/>
    <w:rsid w:val="6FD25527"/>
    <w:rsid w:val="723F1FD0"/>
    <w:rsid w:val="764E3ADE"/>
    <w:rsid w:val="79AB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0" w:lineRule="atLeast"/>
    </w:pPr>
    <w:rPr>
      <w:rFonts w:ascii="Calibri" w:hAnsi="Calibri" w:eastAsia="小标宋" w:cs="黑体"/>
      <w:sz w:val="44"/>
    </w:rPr>
  </w:style>
  <w:style w:type="paragraph" w:styleId="3">
    <w:name w:val="Body Text Indent"/>
    <w:basedOn w:val="1"/>
    <w:next w:val="4"/>
    <w:qFormat/>
    <w:uiPriority w:val="0"/>
    <w:pPr>
      <w:spacing w:line="480" w:lineRule="exact"/>
      <w:ind w:firstLine="645"/>
    </w:pPr>
    <w:rPr>
      <w:rFonts w:ascii="仿宋_GB2312" w:eastAsia="仿宋_GB2312"/>
      <w:sz w:val="32"/>
      <w:szCs w:val="32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next w:val="5"/>
    <w:qFormat/>
    <w:uiPriority w:val="0"/>
    <w:pPr>
      <w:widowControl/>
      <w:spacing w:line="560" w:lineRule="exact"/>
      <w:ind w:firstLine="200" w:firstLineChars="200"/>
    </w:pPr>
    <w:rPr>
      <w:sz w:val="28"/>
      <w:szCs w:val="28"/>
    </w:r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127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2025-08-19T07:39:00Z</dcterms:created>
  <dc:creator>CN=贾雪/OU=国库科/OU=拉萨市财政局/OU=西藏自治区财政厅/O=TIBET</dc:creator>
  <cp:lastModifiedBy>谭铁亮</cp:lastModifiedBy>
  <cp:lastPrinted>2025-08-26T03:48:00Z</cp:lastPrinted>
  <dcterms:modified xsi:type="dcterms:W3CDTF">2025-10-14T09:15:52Z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800296065C3C434292FF36CE1B2AF815_12</vt:lpwstr>
  </property>
</Properties>
</file>