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Times New Roman" w:hAnsi="Times New Roman" w:eastAsia="方正小标宋_GBK" w:cs="Times New Roman"/>
          <w:color w:val="auto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当雄县</w:t>
      </w:r>
      <w:r>
        <w:rPr>
          <w:rFonts w:hint="eastAsia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  <w:t>2024年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  <w:t>地方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债务管理情况的</w:t>
      </w:r>
      <w:r>
        <w:rPr>
          <w:rFonts w:hint="eastAsia" w:ascii="Times New Roman" w:hAnsi="Times New Roman" w:eastAsia="方正小标宋_GBK" w:cs="Times New Roman"/>
          <w:color w:val="auto"/>
          <w:sz w:val="44"/>
          <w:szCs w:val="44"/>
          <w:lang w:eastAsia="zh-CN"/>
        </w:rPr>
        <w:t>说明</w:t>
      </w:r>
    </w:p>
    <w:p>
      <w:pPr>
        <w:rPr>
          <w:rFonts w:hint="eastAsia" w:ascii="Times New Roman" w:hAnsi="Times New Roman" w:eastAsia="方正小标宋_GBK" w:cs="Times New Roman"/>
          <w:color w:val="auto"/>
          <w:sz w:val="44"/>
          <w:szCs w:val="44"/>
          <w:lang w:eastAsia="zh-CN"/>
        </w:rPr>
      </w:pP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bCs/>
          <w:color w:val="auto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Cs/>
          <w:color w:val="auto"/>
          <w:sz w:val="32"/>
          <w:szCs w:val="32"/>
          <w:lang w:val="en-US" w:eastAsia="zh-CN"/>
        </w:rPr>
        <w:t>一、地方</w:t>
      </w:r>
      <w:r>
        <w:rPr>
          <w:rFonts w:hint="default" w:ascii="Times New Roman" w:hAnsi="Times New Roman" w:eastAsia="方正黑体_GBK" w:cs="Times New Roman"/>
          <w:bCs/>
          <w:color w:val="auto"/>
          <w:sz w:val="32"/>
          <w:szCs w:val="32"/>
        </w:rPr>
        <w:t>债务基本情况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 xml:space="preserve">    </w:t>
      </w: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highlight w:val="none"/>
        </w:rPr>
        <w:t>（一）债务规模与结构</w:t>
      </w:r>
      <w:r>
        <w:rPr>
          <w:rFonts w:hint="eastAsia" w:ascii="Times New Roman" w:hAnsi="Times New Roman" w:eastAsia="方正楷体_GBK" w:cs="Times New Roman"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截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至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202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4年末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当雄县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地方政府债务余额为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61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444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万元，其中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一般债务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53444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万元，专项债务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8000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万元。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近年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债务余额基本情况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具体如下：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2019年7499万元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2021年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20206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万元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2022年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68881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万元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2024年61444万元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为有效缓解地方政府偿债压力，维护地方财政平稳运行，2024年再融资债券资金7499万元偿还当年到期的2019年发行政府债务，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其次通过上解支出偿还债务本金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7437万元，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有效降低县本级债务还本压力。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</w:rPr>
        <w:t>二、</w:t>
      </w:r>
      <w:r>
        <w:rPr>
          <w:rFonts w:hint="eastAsia" w:ascii="Times New Roman" w:hAnsi="Times New Roman" w:eastAsia="方正黑体_GBK" w:cs="Times New Roman"/>
          <w:color w:val="auto"/>
          <w:sz w:val="32"/>
          <w:szCs w:val="32"/>
          <w:lang w:val="en-US" w:eastAsia="zh-CN"/>
        </w:rPr>
        <w:t>地方</w:t>
      </w:r>
      <w:r>
        <w:rPr>
          <w:rFonts w:hint="default" w:ascii="Times New Roman" w:hAnsi="Times New Roman" w:eastAsia="方正黑体_GBK" w:cs="Times New Roman"/>
          <w:color w:val="auto"/>
          <w:sz w:val="32"/>
          <w:szCs w:val="32"/>
        </w:rPr>
        <w:t>债务使用情况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地方政府债务资金主要用于支持重大基础设施建设和民生改善项目。</w:t>
      </w:r>
      <w:r>
        <w:rPr>
          <w:rFonts w:hint="default" w:ascii="Times New Roman" w:hAnsi="Times New Roman" w:eastAsia="方正仿宋_GBK" w:cs="Times New Roman"/>
          <w:b/>
          <w:color w:val="auto"/>
          <w:sz w:val="32"/>
          <w:szCs w:val="32"/>
        </w:rPr>
        <w:t>一是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一般债券资金60881万元，主要用于保障民生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福祉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和重点项目。其中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2021年新增一般债券资金12707万元，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全部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用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于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偿还县级政府在中国农业发展银行易地扶贫搬迁贷款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2023年新增地方政府债券资金40675万元，安排19614万元用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于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实施当雄县当曲卡镇乡村振兴贯通铁路南北区基础设施工程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安排1340万元用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于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实施格达乡生活垃圾无害化处理基建工程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安排2150万元用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于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实施当雄县中学第二校区附属及装备项目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安排5524万元用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于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实施当雄县中学二校区（一期）建设项目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安排2836万元用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于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实施当雄县县乡两级政务服务中心建设项目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安排5571万元用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于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实施当雄县当曲卡镇当曲居委会人居环境整治（二期）工程建设项目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安排3640万元用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于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实施当雄县高海拔社会公益健身设施改造项目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2024年通过再融资债券资金7499万元，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全部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用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于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偿还已到期2019年地方政府一般债券（5期）农业生产发展和农村基础设施建设资金。</w:t>
      </w:r>
      <w:r>
        <w:rPr>
          <w:rFonts w:hint="default" w:ascii="Times New Roman" w:hAnsi="Times New Roman" w:eastAsia="方正仿宋_GBK" w:cs="Times New Roman"/>
          <w:b/>
          <w:color w:val="auto"/>
          <w:sz w:val="32"/>
          <w:szCs w:val="32"/>
        </w:rPr>
        <w:t>二是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专项债券资金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17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000万元，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其中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2022年新增专项债8000万元用于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当雄县市政管网改造项目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方正黑体_GBK" w:cs="Times New Roman"/>
          <w:color w:val="auto"/>
          <w:sz w:val="32"/>
          <w:szCs w:val="32"/>
        </w:rPr>
        <w:t>、</w:t>
      </w:r>
      <w:r>
        <w:rPr>
          <w:rFonts w:hint="eastAsia" w:ascii="Times New Roman" w:hAnsi="Times New Roman" w:eastAsia="方正黑体_GBK" w:cs="Times New Roman"/>
          <w:color w:val="auto"/>
          <w:sz w:val="32"/>
          <w:szCs w:val="32"/>
          <w:lang w:val="en-US" w:eastAsia="zh-CN"/>
        </w:rPr>
        <w:t>地方</w:t>
      </w:r>
      <w:r>
        <w:rPr>
          <w:rFonts w:hint="default" w:ascii="Times New Roman" w:hAnsi="Times New Roman" w:eastAsia="方正黑体_GBK" w:cs="Times New Roman"/>
          <w:color w:val="auto"/>
          <w:sz w:val="32"/>
          <w:szCs w:val="32"/>
        </w:rPr>
        <w:t>债务还本情况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2024年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，当雄县偿还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债券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本金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14936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万元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其中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</w:rPr>
        <w:t>一是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2024年通过申请发行再融资债券方式偿还已到期一般债本金7499万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元；</w:t>
      </w:r>
      <w:r>
        <w:rPr>
          <w:rFonts w:hint="eastAsia" w:ascii="Times New Roman" w:hAnsi="Times New Roman" w:eastAsia="方正仿宋_GBK" w:cs="Times New Roman"/>
          <w:b/>
          <w:bCs/>
          <w:color w:val="auto"/>
          <w:sz w:val="32"/>
          <w:szCs w:val="32"/>
          <w:highlight w:val="none"/>
          <w:lang w:eastAsia="zh-CN"/>
        </w:rPr>
        <w:t>二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highlight w:val="none"/>
          <w:lang w:eastAsia="zh-CN"/>
        </w:rPr>
        <w:t>是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通过上解支出偿还本金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743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万元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，其中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当雄县当曲卡镇当曲居委会人居环境整治（二期）工程建设项目还本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2357万元；当雄县中学第二校区（一期）建设项目还本4276万元；当雄县县乡两级政务服务中心建设项目还本80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万元。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Times New Roman" w:hAnsi="Times New Roman" w:eastAsia="方正黑体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方正黑体_GBK" w:cs="Times New Roman"/>
          <w:color w:val="auto"/>
          <w:sz w:val="32"/>
          <w:szCs w:val="32"/>
        </w:rPr>
        <w:t>、</w:t>
      </w:r>
      <w:r>
        <w:rPr>
          <w:rFonts w:hint="eastAsia" w:ascii="Times New Roman" w:hAnsi="Times New Roman" w:eastAsia="方正黑体_GBK" w:cs="Times New Roman"/>
          <w:color w:val="auto"/>
          <w:sz w:val="32"/>
          <w:szCs w:val="32"/>
          <w:lang w:val="en-US" w:eastAsia="zh-CN"/>
        </w:rPr>
        <w:t>地方</w:t>
      </w:r>
      <w:r>
        <w:rPr>
          <w:rFonts w:hint="default" w:ascii="Times New Roman" w:hAnsi="Times New Roman" w:eastAsia="方正黑体_GBK" w:cs="Times New Roman"/>
          <w:color w:val="auto"/>
          <w:sz w:val="32"/>
          <w:szCs w:val="32"/>
        </w:rPr>
        <w:t>债务管理</w:t>
      </w:r>
      <w:r>
        <w:rPr>
          <w:rFonts w:hint="eastAsia" w:ascii="Times New Roman" w:hAnsi="Times New Roman" w:eastAsia="方正黑体_GBK" w:cs="Times New Roman"/>
          <w:color w:val="auto"/>
          <w:sz w:val="32"/>
          <w:szCs w:val="32"/>
          <w:lang w:val="en-US" w:eastAsia="zh-CN"/>
        </w:rPr>
        <w:t>举措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全县以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防风险、促发展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为原则，通过全链条管控、多主体协同及长效机制建设，实现债务风险可控、资金效益提升与发展空间拓展的有机统一，为县域高质量发展提供坚实保障。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eastAsia="zh-CN"/>
        </w:rPr>
        <w:t>（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val="en-US" w:eastAsia="zh-CN"/>
        </w:rPr>
        <w:t>一）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</w:rPr>
        <w:t>风险防控机制全面强化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实行全口径债务数据月统计、季分析制度，专人负责审核汇总债务来源、偿还方式、余额性质等指标，建立动态债务监控台账。风险排查预警，落实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早发现、早预警、早处置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原则，常态化开展债务率指标监测和风险点排查，对隐性债务增量实施源头管控，严守债务风险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绿色等级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 xml:space="preserve">底线。同时，强化预算硬约束，严控融资平台新增债务规模，确保债务规模与财政偿付能力相匹配。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eastAsia="zh-CN"/>
        </w:rPr>
        <w:t>（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val="en-US" w:eastAsia="zh-CN"/>
        </w:rPr>
        <w:t>二）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</w:rPr>
        <w:t>债务管理措施全面精准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实行项目常态化储备，构建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储备一批、申报一批、发行一批、建设一批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滚动机制，推进项目谋划，强化部门协作与政策对接，提升项目成熟度和申报成功率。实行资金闭环监管，实行债券资金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借、用、管、还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 xml:space="preserve">全生命周期管理，通过专户核算、定期调度、现场督查等方式，确保资金及时形成实物工作量；落实绩效评价与责任追究，杜绝资金滞留或挪用。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楷体_GBK" w:cs="Times New Roman"/>
          <w:color w:val="auto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eastAsia="zh-CN"/>
        </w:rPr>
        <w:t>（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val="en-US" w:eastAsia="zh-CN"/>
        </w:rPr>
        <w:t>三）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</w:rPr>
        <w:t>债务化解能力全面提升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分类施策化债，制定中长期化债计划，通过再融资债券置换、盘活存量资产（如国有土地、特许经营权）等方式压降存量债务。财政收支管控，严格执行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过紧日子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 xml:space="preserve">要求，压减非刚性支出，统筹资金优先保障债务付息；加强税收征管和财源建设，确保偿债能力可持续。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color w:val="auto"/>
          <w:sz w:val="32"/>
          <w:szCs w:val="32"/>
        </w:rPr>
        <w:t>（</w:t>
      </w:r>
      <w:r>
        <w:rPr>
          <w:rFonts w:hint="eastAsia" w:ascii="Times New Roman" w:hAnsi="Times New Roman" w:eastAsia="方正楷体_GBK" w:cs="Times New Roman"/>
          <w:color w:val="auto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方正楷体_GBK" w:cs="Times New Roman"/>
          <w:color w:val="auto"/>
          <w:sz w:val="32"/>
          <w:szCs w:val="32"/>
        </w:rPr>
        <w:t>）</w:t>
      </w:r>
      <w:r>
        <w:rPr>
          <w:rFonts w:hint="eastAsia" w:ascii="Times New Roman" w:hAnsi="Times New Roman" w:eastAsia="方正楷体_GBK" w:cs="Times New Roman"/>
          <w:color w:val="auto"/>
          <w:sz w:val="32"/>
          <w:szCs w:val="32"/>
          <w:lang w:val="en-US" w:eastAsia="zh-CN"/>
        </w:rPr>
        <w:t>地方</w:t>
      </w:r>
      <w:r>
        <w:rPr>
          <w:rFonts w:hint="default" w:ascii="Times New Roman" w:hAnsi="Times New Roman" w:eastAsia="方正楷体_GBK" w:cs="Times New Roman"/>
          <w:color w:val="auto"/>
          <w:sz w:val="32"/>
          <w:szCs w:val="32"/>
        </w:rPr>
        <w:t>债务</w:t>
      </w:r>
      <w:r>
        <w:rPr>
          <w:rFonts w:hint="eastAsia" w:ascii="Times New Roman" w:hAnsi="Times New Roman" w:eastAsia="方正楷体_GBK" w:cs="Times New Roman"/>
          <w:color w:val="auto"/>
          <w:sz w:val="32"/>
          <w:szCs w:val="32"/>
          <w:lang w:val="en-US" w:eastAsia="zh-CN"/>
        </w:rPr>
        <w:t>信息</w:t>
      </w:r>
      <w:r>
        <w:rPr>
          <w:rFonts w:hint="default" w:ascii="Times New Roman" w:hAnsi="Times New Roman" w:eastAsia="方正楷体_GBK" w:cs="Times New Roman"/>
          <w:color w:val="auto"/>
          <w:sz w:val="32"/>
          <w:szCs w:val="32"/>
        </w:rPr>
        <w:t>公开透明。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财政部门每年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</w:rPr>
        <w:t>公开本级政府上年度债务发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eastAsia="zh-CN"/>
        </w:rPr>
        <w:t>行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</w:rPr>
        <w:t>限额、余额、债券发行及还本付息额，本年度政府债券还本付息预算数等信息；随同调整预算公开当年本级新增政府债券资金及使用安排情况；随同决算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公开上年度本级政府债券发行、还本付息决算数，以及政府债券资金使用安排等信息。通过政府官网及时公开政府债务规模、结构、使用情况等信息，自觉接受县人大、审计、监察部门及社会监督，确保政府债务内容公开、透明。</w:t>
      </w:r>
    </w:p>
    <w:p>
      <w:pPr>
        <w:rPr>
          <w:rFonts w:hint="eastAsia" w:ascii="Times New Roman" w:hAnsi="Times New Roman" w:eastAsia="方正小标宋_GBK" w:cs="Times New Roman"/>
          <w:color w:val="auto"/>
          <w:sz w:val="44"/>
          <w:szCs w:val="44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3A5EE1"/>
    <w:rsid w:val="095E1BC0"/>
    <w:rsid w:val="18201FF8"/>
    <w:rsid w:val="29843406"/>
    <w:rsid w:val="4B044AA6"/>
    <w:rsid w:val="523A5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2025-10-14T07:25:00Z</dcterms:created>
  <dc:creator>CN=贾雪/OU=国库科/OU=拉萨市财政局/OU=西藏自治区财政厅/O=TIBET</dc:creator>
  <cp:lastModifiedBy>CN=贾雪/OU=国库科/OU=拉萨市财政局/OU=西藏自治区财政厅/O=TIBET</cp:lastModifiedBy>
  <dcterms:modified xsi:type="dcterms:W3CDTF">2025-10-14T07:48:57Z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