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C02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第一部分 当雄县委员会巡查工作办公室概况</w:t>
      </w:r>
    </w:p>
    <w:p w14:paraId="7926A8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一、主要职责</w:t>
      </w:r>
    </w:p>
    <w:p w14:paraId="19A7B2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二、部门机构设置</w:t>
      </w:r>
    </w:p>
    <w:p w14:paraId="1B162E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三、部门预算构成</w:t>
      </w:r>
    </w:p>
    <w:p w14:paraId="4EE2EF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第二部分 </w:t>
      </w:r>
      <w:r>
        <w:rPr>
          <w:rFonts w:hint="eastAsia" w:ascii="微软雅黑" w:hAnsi="微软雅黑" w:eastAsia="微软雅黑" w:cs="微软雅黑"/>
          <w:b/>
          <w:bCs/>
          <w:i w:val="0"/>
          <w:iCs w:val="0"/>
          <w:caps w:val="0"/>
          <w:color w:val="333333"/>
          <w:spacing w:val="0"/>
          <w:sz w:val="24"/>
          <w:szCs w:val="24"/>
          <w:shd w:val="clear" w:fill="FFFFFF"/>
          <w:lang w:eastAsia="zh-CN"/>
        </w:rPr>
        <w:t>2026</w:t>
      </w:r>
      <w:r>
        <w:rPr>
          <w:rFonts w:hint="eastAsia" w:ascii="微软雅黑" w:hAnsi="微软雅黑" w:eastAsia="微软雅黑" w:cs="微软雅黑"/>
          <w:b/>
          <w:bCs/>
          <w:i w:val="0"/>
          <w:iCs w:val="0"/>
          <w:caps w:val="0"/>
          <w:color w:val="333333"/>
          <w:spacing w:val="0"/>
          <w:sz w:val="24"/>
          <w:szCs w:val="24"/>
          <w:shd w:val="clear" w:fill="FFFFFF"/>
        </w:rPr>
        <w:t>年部门预算表</w:t>
      </w:r>
    </w:p>
    <w:p w14:paraId="2F0EE4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第三部分 </w:t>
      </w:r>
      <w:r>
        <w:rPr>
          <w:rFonts w:hint="eastAsia" w:ascii="微软雅黑" w:hAnsi="微软雅黑" w:eastAsia="微软雅黑" w:cs="微软雅黑"/>
          <w:b/>
          <w:bCs/>
          <w:i w:val="0"/>
          <w:iCs w:val="0"/>
          <w:caps w:val="0"/>
          <w:color w:val="333333"/>
          <w:spacing w:val="0"/>
          <w:sz w:val="24"/>
          <w:szCs w:val="24"/>
          <w:shd w:val="clear" w:fill="FFFFFF"/>
          <w:lang w:eastAsia="zh-CN"/>
        </w:rPr>
        <w:t>2026</w:t>
      </w:r>
      <w:r>
        <w:rPr>
          <w:rFonts w:hint="eastAsia" w:ascii="微软雅黑" w:hAnsi="微软雅黑" w:eastAsia="微软雅黑" w:cs="微软雅黑"/>
          <w:b/>
          <w:bCs/>
          <w:i w:val="0"/>
          <w:iCs w:val="0"/>
          <w:caps w:val="0"/>
          <w:color w:val="333333"/>
          <w:spacing w:val="0"/>
          <w:sz w:val="24"/>
          <w:szCs w:val="24"/>
          <w:shd w:val="clear" w:fill="FFFFFF"/>
        </w:rPr>
        <w:t>年部门预算情况说明</w:t>
      </w:r>
    </w:p>
    <w:p w14:paraId="3642D6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一、部门预算收支增减变化情况</w:t>
      </w:r>
    </w:p>
    <w:p w14:paraId="596763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二、“三公”经费安排情况</w:t>
      </w:r>
    </w:p>
    <w:p w14:paraId="451FFE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三、机关运行经费安排情况</w:t>
      </w:r>
    </w:p>
    <w:p w14:paraId="25BD14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四、政府采购情况</w:t>
      </w:r>
    </w:p>
    <w:p w14:paraId="41DFC0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五、国有资产占有使用情况</w:t>
      </w:r>
    </w:p>
    <w:p w14:paraId="330DD7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六、项目绩效目标情况</w:t>
      </w:r>
    </w:p>
    <w:p w14:paraId="016480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七、其他需要说明的情况</w:t>
      </w:r>
    </w:p>
    <w:p w14:paraId="50704B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第四部分 名词解释</w:t>
      </w:r>
    </w:p>
    <w:p w14:paraId="106315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第一部分 当雄县委员会巡查工作办公室概况</w:t>
      </w:r>
    </w:p>
    <w:p w14:paraId="51316E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一、主要职责</w:t>
      </w:r>
    </w:p>
    <w:p w14:paraId="6294FD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负责全县党的纪律检查工作。贯彻落实党中央、区市党委关于纪律检查工作的决定、区市纪委和县委关于纪律检查工作的决策部署，维护党的章程和其他党内法规，检查党的路线方针政策和决议的执行情况，协助县委推进全面从严治党、加强党风建设和组织协调反腐败工作。</w:t>
      </w:r>
    </w:p>
    <w:p w14:paraId="1C54E3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依照党的章程和其他党内法规履行监督、执纪、问责职责。负责经常对党员进行遵守纪律的教育，作出关于维护党纪的决定；对县委工作机关、自治区党委、市委批准设立的全县各级党组织、纪委等党的组织和县级管理的党员领导干部履行职责、行使权力进行监督，受理处置党员群众检举举报，开展谈话提醒、约谈函询；检查和处理上述党的组织和党员违反党的章程和其他党内法规的案件，决定或者取消对这些案件中的党员的处分；进行问责或者提出责任追究的建议；受理党员的控告和申诉；保障党员的权利。</w:t>
      </w:r>
    </w:p>
    <w:p w14:paraId="75AA12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3.在区市党委、县委的统一领导下，统筹协调县委巡察工作，配合县委巡察工作领导小组开展县委巡察工作。</w:t>
      </w:r>
    </w:p>
    <w:p w14:paraId="453AA5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4.负责全县监察工作。维护宪法法律，依法对县级管理的行使公权力的公职人员进行监察，调查职务违法和职务犯罪，开展廉政建设和反腐败工作。</w:t>
      </w:r>
    </w:p>
    <w:p w14:paraId="6591CD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依照法律规定履行监督、调查、处置职责。推动开展廉政教育，对县级管理的行使公权力的公职人员依法履职、秉公用权、廉洁从政从业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14:paraId="03F2CF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6.负责组织协调全面从严治党、党风廉政建设和反腐败宣传教育工作。</w:t>
      </w:r>
    </w:p>
    <w:p w14:paraId="5946AB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7.负责综合分析全面从严治党、党风廉政建设和反腐败工作情况，对纪检监察工作重要理论及实践问题进行调查研究；制定或者修改纪检监察制度规定，参与起草制定县级相关法规和规范性文件。</w:t>
      </w:r>
    </w:p>
    <w:p w14:paraId="1836C2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8.加强对反腐败追逃追赃和防逃工作的组织协调，督促有关单位做好相关工作。</w:t>
      </w:r>
    </w:p>
    <w:p w14:paraId="0EE68A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9.根据干部管理权限，负责纪检监察系统、巡察机构领导班子建设、干部队伍建设和组织建设的综合规划、政策研究、制度建设和业务指导；组织和指导纪检监察和巡察干部教育培训工作等。</w:t>
      </w:r>
    </w:p>
    <w:p w14:paraId="4A3E60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10.完成区市纪委监委和区市党委、县委交办的其他任务。</w:t>
      </w:r>
    </w:p>
    <w:p w14:paraId="1A29F2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二、部门（单位）机构设置情况</w:t>
      </w:r>
    </w:p>
    <w:p w14:paraId="477748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当雄县委员会巡查工作办公室1个行政机构，下设当雄县纪检委办公室和纪检监察一室和纪检监察二室。</w:t>
      </w:r>
    </w:p>
    <w:p w14:paraId="0B71F4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三、部门预算构成</w:t>
      </w:r>
    </w:p>
    <w:p w14:paraId="26FCC5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中共当雄县巡查工作办公室为正科级，列当雄县委工作机关序列。</w:t>
      </w:r>
    </w:p>
    <w:p w14:paraId="5C03B5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第二部分 </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年部门预算表</w:t>
      </w:r>
    </w:p>
    <w:p w14:paraId="220A01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shd w:val="clear" w:fill="FFFFFF"/>
        </w:rPr>
      </w:pPr>
    </w:p>
    <w:p w14:paraId="70DEA4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第三部分 </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年部门预算情况说明</w:t>
      </w:r>
    </w:p>
    <w:p w14:paraId="6D5F26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一、部门预算收支增减变化情况</w:t>
      </w:r>
    </w:p>
    <w:p w14:paraId="33A94A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年本部门收入预算288.73万元，比上年增加23.79万元，增长8.98%，主要原因是：项目增加；支出预算</w:t>
      </w:r>
      <w:r>
        <w:rPr>
          <w:rFonts w:hint="eastAsia" w:ascii="微软雅黑" w:hAnsi="微软雅黑" w:eastAsia="微软雅黑" w:cs="微软雅黑"/>
          <w:i w:val="0"/>
          <w:iCs w:val="0"/>
          <w:caps w:val="0"/>
          <w:color w:val="333333"/>
          <w:spacing w:val="0"/>
          <w:sz w:val="24"/>
          <w:szCs w:val="24"/>
          <w:shd w:val="clear" w:fill="FFFFFF"/>
        </w:rPr>
        <w:t>288.73万元，比上年增加23.79万元，增长8.98%</w:t>
      </w:r>
      <w:r>
        <w:rPr>
          <w:rFonts w:hint="eastAsia" w:ascii="微软雅黑" w:hAnsi="微软雅黑" w:eastAsia="微软雅黑" w:cs="微软雅黑"/>
          <w:i w:val="0"/>
          <w:iCs w:val="0"/>
          <w:caps w:val="0"/>
          <w:color w:val="333333"/>
          <w:spacing w:val="0"/>
          <w:sz w:val="24"/>
          <w:szCs w:val="24"/>
          <w:shd w:val="clear" w:fill="FFFFFF"/>
        </w:rPr>
        <w:t>，主要原因是：项目增加。</w:t>
      </w:r>
    </w:p>
    <w:p w14:paraId="215518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二、“三公”经费安排情况</w:t>
      </w:r>
    </w:p>
    <w:p w14:paraId="68B5D2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财政拨款安排“三公”经费1.3万元，比上年减少1.54万元，下降54.23%，主要原因是：出差减少，以至公务用车次数减少。其中：因公出国（境）0万元，与上年持平；公务用车购置及运行维护费1.3万元（公务用车购置费0万元，与上年持平；公务用车运行维护费1.3万元，比上年减少1.22万元。）比上年减少</w:t>
      </w:r>
      <w:r>
        <w:rPr>
          <w:rFonts w:hint="eastAsia" w:ascii="微软雅黑" w:hAnsi="微软雅黑" w:eastAsia="微软雅黑" w:cs="微软雅黑"/>
          <w:i w:val="0"/>
          <w:iCs w:val="0"/>
          <w:caps w:val="0"/>
          <w:color w:val="333333"/>
          <w:spacing w:val="0"/>
          <w:sz w:val="24"/>
          <w:szCs w:val="24"/>
          <w:shd w:val="clear" w:fill="FFFFFF"/>
        </w:rPr>
        <w:t>1.22</w:t>
      </w:r>
      <w:r>
        <w:rPr>
          <w:rFonts w:hint="eastAsia" w:ascii="微软雅黑" w:hAnsi="微软雅黑" w:eastAsia="微软雅黑" w:cs="微软雅黑"/>
          <w:i w:val="0"/>
          <w:iCs w:val="0"/>
          <w:caps w:val="0"/>
          <w:color w:val="333333"/>
          <w:spacing w:val="0"/>
          <w:sz w:val="24"/>
          <w:szCs w:val="24"/>
          <w:shd w:val="clear" w:fill="FFFFFF"/>
        </w:rPr>
        <w:t>万元，下降48.41%，主要原因是：出差减少，以至公务用车次数减少；公务接待费</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万元，</w:t>
      </w:r>
      <w:r>
        <w:rPr>
          <w:rFonts w:hint="eastAsia" w:ascii="微软雅黑" w:hAnsi="微软雅黑" w:eastAsia="微软雅黑" w:cs="微软雅黑"/>
          <w:i w:val="0"/>
          <w:iCs w:val="0"/>
          <w:caps w:val="0"/>
          <w:color w:val="333333"/>
          <w:spacing w:val="0"/>
          <w:sz w:val="24"/>
          <w:szCs w:val="24"/>
          <w:shd w:val="clear" w:fill="FFFFFF"/>
          <w:lang w:val="en-US" w:eastAsia="zh-CN"/>
        </w:rPr>
        <w:t>较上年减少0.32五万元</w:t>
      </w:r>
      <w:r>
        <w:rPr>
          <w:rFonts w:hint="eastAsia" w:ascii="微软雅黑" w:hAnsi="微软雅黑" w:eastAsia="微软雅黑" w:cs="微软雅黑"/>
          <w:i w:val="0"/>
          <w:iCs w:val="0"/>
          <w:caps w:val="0"/>
          <w:color w:val="333333"/>
          <w:spacing w:val="0"/>
          <w:sz w:val="24"/>
          <w:szCs w:val="24"/>
          <w:shd w:val="clear" w:fill="FFFFFF"/>
        </w:rPr>
        <w:t>。</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年因公出国（境）0个团组、0人，公务用车购置0辆、保有0量，国内公务接待0批次、0人。</w:t>
      </w:r>
    </w:p>
    <w:p w14:paraId="524343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三、机关运行经费安排情况</w:t>
      </w:r>
    </w:p>
    <w:p w14:paraId="46612D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年，本部门机关运行经费安排19.43万元，比上年增加6.41万元，增长49.23%，主要原因是：差旅及培训次数增多。</w:t>
      </w:r>
    </w:p>
    <w:p w14:paraId="3567C5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四、政府采购情况</w:t>
      </w:r>
    </w:p>
    <w:p w14:paraId="42EED2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年本部门政府采购安排0万元，其中：货物类采购预算0万元，工程类采购预算0万元，服务类采购预算0万元等。</w:t>
      </w:r>
    </w:p>
    <w:p w14:paraId="541044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五、国有资产占有使用情况</w:t>
      </w:r>
    </w:p>
    <w:p w14:paraId="417B23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截至</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年1月20日，本部门固定资产构成情况为：房屋0平方米，车辆1辆，本年度拟购置固定资产无。</w:t>
      </w:r>
    </w:p>
    <w:p w14:paraId="62C24B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六、项目绩效目标情况</w:t>
      </w:r>
    </w:p>
    <w:p w14:paraId="4CA7D4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年，实行绩效目标管理项目</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个，资金</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万元，实现项目支出绩效目标管理全覆盖。其中本部门重点项目绩效目标情况如下：</w:t>
      </w:r>
      <w:bookmarkStart w:id="0" w:name="_GoBack"/>
      <w:bookmarkEnd w:id="0"/>
      <w:r>
        <w:rPr>
          <w:rFonts w:hint="eastAsia" w:ascii="微软雅黑" w:hAnsi="微软雅黑" w:eastAsia="微软雅黑" w:cs="微软雅黑"/>
          <w:i w:val="0"/>
          <w:iCs w:val="0"/>
          <w:caps w:val="0"/>
          <w:color w:val="333333"/>
          <w:spacing w:val="0"/>
          <w:sz w:val="24"/>
          <w:szCs w:val="24"/>
          <w:shd w:val="clear" w:fill="FFFFFF"/>
        </w:rPr>
        <w:t> </w:t>
      </w:r>
    </w:p>
    <w:p w14:paraId="14A4EF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七、其他需要说明的情况</w:t>
      </w:r>
    </w:p>
    <w:p w14:paraId="1C48E0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本单位无政府债务情况。</w:t>
      </w:r>
    </w:p>
    <w:p w14:paraId="68B932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第四部分  名词解释</w:t>
      </w:r>
    </w:p>
    <w:p w14:paraId="1B2511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一、财政拨款收入：指预算单位从本级财政部门取得的财政预算资金收入。</w:t>
      </w:r>
    </w:p>
    <w:p w14:paraId="7996D3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二、事业收入：指事业单位开展专业业务活动及辅助活动所取得的收入。</w:t>
      </w:r>
    </w:p>
    <w:p w14:paraId="138623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三、经营收入：指事业单位在专业业务活动及其辅助活动之外开展非独立核算经营活动取得的收入。</w:t>
      </w:r>
    </w:p>
    <w:p w14:paraId="1FD9D2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四、其他收入：指除上述“财政拨款收入”、“事业收入”、“经营收入”等以外的收入。主要是非本级财政拨款、存款利息收入、事业单位固定资产出租收入等。</w:t>
      </w:r>
    </w:p>
    <w:p w14:paraId="043F75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五、上年结转：指以前年度安排、结转到本年仍按原规定用途继续使用的资金。</w:t>
      </w:r>
    </w:p>
    <w:p w14:paraId="16C8CD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用事业基金弥补收支差额：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6BCD8E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七、基本支出：指为保障机构正常运转、完成日常工作任务而发生的人员支出和公用支出。</w:t>
      </w:r>
    </w:p>
    <w:p w14:paraId="180546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八、项目支出：指在基本支出之外为完成特定行政任务或事业发展目标所发生的支出。</w:t>
      </w:r>
    </w:p>
    <w:p w14:paraId="5A3DAC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九、经营支出：指事业单位在专业业务活动及其辅助活动之外开展非独立核算经营活动发生的支出。</w:t>
      </w:r>
    </w:p>
    <w:p w14:paraId="6F31A0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行政经费（机关运行经费）：指用于维持行政（参公）单位机构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14:paraId="724E39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一、“三公”经费：是指部门（单位）使用财政拨款安排的因公出国（境）费、公务用车购置及运行维护费和公务接待费。其中：因公出国（境）费反映公务出国（境）的国际旅费、国外城市间交通费、住宿费、伙食费、培训费、公杂费等支出；公务用车购置费反映公务用车购置支出（含车辆购置税、牌照费），公务用车运行维护费反映公务用车燃料费、维修费、保险费等支出；公务接待费反映按规定开支的各类公务接待（含外宾接待）费用。</w:t>
      </w:r>
    </w:p>
    <w:p w14:paraId="5F1D54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十二、重点项目：贯彻落实自治区党委、政府重大方针政策和决策部署的项目，覆盖面广、影响力大、社会关注度高、实施期长的项目，或与本部门职能职责密切相关的项目或预算安排支出相对较大的项目。</w:t>
      </w:r>
    </w:p>
    <w:p w14:paraId="287BED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52864"/>
    <w:rsid w:val="04303A10"/>
    <w:rsid w:val="09097FE0"/>
    <w:rsid w:val="0B083329"/>
    <w:rsid w:val="0B5D0834"/>
    <w:rsid w:val="112A0F34"/>
    <w:rsid w:val="1277445A"/>
    <w:rsid w:val="14262E9B"/>
    <w:rsid w:val="183171BE"/>
    <w:rsid w:val="18E6186A"/>
    <w:rsid w:val="20E17D82"/>
    <w:rsid w:val="211D68E2"/>
    <w:rsid w:val="27DE0B74"/>
    <w:rsid w:val="2BA35DA7"/>
    <w:rsid w:val="2C784B05"/>
    <w:rsid w:val="2D1E5293"/>
    <w:rsid w:val="2E51438B"/>
    <w:rsid w:val="30216B85"/>
    <w:rsid w:val="40854466"/>
    <w:rsid w:val="42F06ADE"/>
    <w:rsid w:val="43BD07B0"/>
    <w:rsid w:val="46D92953"/>
    <w:rsid w:val="48441E9E"/>
    <w:rsid w:val="4CB571EA"/>
    <w:rsid w:val="52016097"/>
    <w:rsid w:val="52FA40B1"/>
    <w:rsid w:val="5CA31609"/>
    <w:rsid w:val="5CB376A5"/>
    <w:rsid w:val="5DAB65B8"/>
    <w:rsid w:val="5E277206"/>
    <w:rsid w:val="601A7636"/>
    <w:rsid w:val="6358588A"/>
    <w:rsid w:val="64CC31ED"/>
    <w:rsid w:val="6505684A"/>
    <w:rsid w:val="686B6B5C"/>
    <w:rsid w:val="6BB875C8"/>
    <w:rsid w:val="6C0079BC"/>
    <w:rsid w:val="6D7D3A31"/>
    <w:rsid w:val="71DD525F"/>
    <w:rsid w:val="76047BAD"/>
    <w:rsid w:val="78543BF9"/>
    <w:rsid w:val="7B186900"/>
    <w:rsid w:val="7BE13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2855</Words>
  <Characters>2966</Characters>
  <Lines>0</Lines>
  <Paragraphs>0</Paragraphs>
  <TotalTime>2</TotalTime>
  <ScaleCrop>false</ScaleCrop>
  <LinksUpToDate>false</LinksUpToDate>
  <CharactersWithSpaces>2967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2026-02-22T07:45:00Z</dcterms:created>
  <dc:creator>Administrator</dc:creator>
  <cp:lastModifiedBy>SoO</cp:lastModifiedBy>
  <dcterms:modified xsi:type="dcterms:W3CDTF">2026-02-24T17:24:04Z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eyJoZGlkIjoiOTE4N2NiZTI0NjdkNzg3NjIwMmNjYzg2ZDFiMjk2MzUiLCJ1c2VySWQiOiIxNTQ2NjU4MjM5In0=</vt:lpwstr>
  </property>
  <property fmtid="{D5CDD505-2E9C-101B-9397-08002B2CF9AE}" pid="4" name="ICV">
    <vt:lpwstr>918D39EF39A64DD498042121C50DB4CE_13</vt:lpwstr>
  </property>
</Properties>
</file>