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AF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第一部分 生态环境局当雄县分局概况</w:t>
      </w:r>
    </w:p>
    <w:p w14:paraId="0EF99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9FE2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31512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57819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2299A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49578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380975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47380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7795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05433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6165B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FCEE9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1CA2A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730A8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第一部分 生态环境局当雄县分局概况</w:t>
      </w:r>
    </w:p>
    <w:p w14:paraId="35368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23FD3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贯彻执行国家环境保护的方针政策和法律法规，依法监督实施与环境保护相关的经济、技术、资源配置和产业等方面的政策。拟定全县环境保护计划，参与可持续发展纲要、经济和社会发展规划、计划的编制及环境与发展综合决策。组织拟定和监督实施重点区域、重点河流污染防治和生态保护建设规划。</w:t>
      </w:r>
    </w:p>
    <w:p w14:paraId="4495A2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2.对全县重大经济和技术政策、发展规划以及重大经济开发计划进行环境影响评价，按国家规定审核开发建设项目环境影响报告书。参与土地利用规划、旅游发展规划等与环境保护有关的规划审核工作。</w:t>
      </w:r>
    </w:p>
    <w:p w14:paraId="2B91E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3.组织实施大气、水体、土壤、噪声、放射性及电磁辐射、固体废物、有毒化学品以及机动车等污染防治工作的综合管理和协调。</w:t>
      </w:r>
    </w:p>
    <w:p w14:paraId="34336F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监督管理自然生态环境保护工作。组织拟定全县自然生态保护政策性措施和自然保护区发展规划。监督对生态环境有影响的自然资源开发利用活动、重要生态环境建设和生态破坏恢复工作。监督、管理和指导自然保护区以及风景名胜区环境保护工作。监督检查生物多样性保护、野生动植物保护、湿地环境保护工作。负责新建的自然保护区审批建设及申报自治区级自然保护区的建议。</w:t>
      </w:r>
    </w:p>
    <w:p w14:paraId="4B8EF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5.指导和协调解决各乡镇、各部门的重大环境问题，依法调查处理或上报重大环境污染事故和生态破坏事件。解决辖区环境污染纠纷。组织开展全县环境保护执法检查活动。</w:t>
      </w:r>
    </w:p>
    <w:p w14:paraId="636AF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6.承担落实减排目标的责任。组织、监督实施污染源限期治理、总量控制和达标排放等环境管理制度。</w:t>
      </w:r>
    </w:p>
    <w:p w14:paraId="1C5AF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7.负责全县环境质量监测、统计、信息管理工作。</w:t>
      </w:r>
    </w:p>
    <w:p w14:paraId="08FA14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8.组织、指导和协调环境保护宣传教育工作。协同有关部门开展环境教育和社会环境宣传教育工作，推动公众和非政府组织参与环境保护。</w:t>
      </w:r>
    </w:p>
    <w:p w14:paraId="7FB92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9.承办当雄县人民政府交办的其他事项。</w:t>
      </w:r>
    </w:p>
    <w:p w14:paraId="486326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616D1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生态环境局当雄县分局1个行政机构，下设生态环境局当雄县分局局长办公室和副局长办公室。</w:t>
      </w:r>
    </w:p>
    <w:p w14:paraId="7569DE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46347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拉萨市生态环境局当雄县分局是当雄县人民政府工作部门，为正科级，加挂当雄县林业和草原局、当雄县自然保护区管理局牌子。 </w:t>
      </w:r>
    </w:p>
    <w:p w14:paraId="15E64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56D08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32530E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052282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4A8551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年本部门收入预算173万元，比上年减少3.61万元，下降2.04%，主要原因是：项目支出减少；支出预算</w:t>
      </w:r>
      <w:r>
        <w:rPr>
          <w:rFonts w:hint="eastAsia" w:ascii="微软雅黑" w:hAnsi="微软雅黑" w:eastAsia="微软雅黑" w:cs="微软雅黑"/>
          <w:i w:val="0"/>
          <w:iCs w:val="0"/>
          <w:caps w:val="0"/>
          <w:color w:val="333333"/>
          <w:spacing w:val="0"/>
          <w:sz w:val="24"/>
          <w:szCs w:val="24"/>
          <w:shd w:val="clear" w:fill="FFFFFF"/>
        </w:rPr>
        <w:t>173万元，比上年减少3.61万元，下降2.04%</w:t>
      </w:r>
      <w:r>
        <w:rPr>
          <w:rFonts w:hint="eastAsia" w:ascii="微软雅黑" w:hAnsi="微软雅黑" w:eastAsia="微软雅黑" w:cs="微软雅黑"/>
          <w:i w:val="0"/>
          <w:iCs w:val="0"/>
          <w:caps w:val="0"/>
          <w:color w:val="333333"/>
          <w:spacing w:val="0"/>
          <w:sz w:val="24"/>
          <w:szCs w:val="24"/>
          <w:shd w:val="clear" w:fill="FFFFFF"/>
        </w:rPr>
        <w:t>，主要原因是：项目支出减少。</w:t>
      </w:r>
    </w:p>
    <w:p w14:paraId="6CD6E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77456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本单位暂无“三公”经费安排。</w:t>
      </w:r>
    </w:p>
    <w:p w14:paraId="27FE8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11742F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本单位暂无机关运行经费安排。</w:t>
      </w:r>
    </w:p>
    <w:p w14:paraId="60F0E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4157F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万元，其中：货物类采购预算0万元，工程类采购预算0万元，服务类采购预算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万元等。</w:t>
      </w:r>
    </w:p>
    <w:p w14:paraId="64354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349A0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年1月20日，本部门固定资产构成情况为：房屋100平方米，车辆1辆，本年度拟购置固定资产无。</w:t>
      </w:r>
    </w:p>
    <w:p w14:paraId="5FE30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6C0DB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w:t>
      </w:r>
    </w:p>
    <w:p w14:paraId="67F29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7B3ED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0F204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3260E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435C6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4EAC16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321507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196CB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332C74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5AD2B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10A58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14386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44155F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4A92A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34AE7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A10"/>
    <w:rsid w:val="18E6186A"/>
    <w:rsid w:val="40CA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2384</Words>
  <Characters>2475</Characters>
  <Lines>0</Lines>
  <Paragraphs>0</Paragraphs>
  <TotalTime>1</TotalTime>
  <ScaleCrop>false</ScaleCrop>
  <LinksUpToDate>false</LinksUpToDate>
  <CharactersWithSpaces>2477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2026-02-24T15:43:16Z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1AC832A723854CBD86BA903A74A5D3D6_13</vt:lpwstr>
  </property>
</Properties>
</file>