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4B8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第一部分 当雄县羊八井寺管理委员会概况</w:t>
      </w:r>
    </w:p>
    <w:p w14:paraId="76AC5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653687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二、部门机构设置</w:t>
      </w:r>
    </w:p>
    <w:p w14:paraId="4DA922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5F596B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72B9CB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1BA7D2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7754A5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0488F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720455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23A31C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6B44D6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52E3D0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1ABCC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第一部分 当雄县羊八井寺管理委员会概况</w:t>
      </w:r>
    </w:p>
    <w:p w14:paraId="4BE06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175A1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寺庙管委会要经常性地向尼姑进行爱国主义、时事政治、政策法规等教育、不断增强广大尼姑的中华民族意识、国家意识、法制意识和公民意识，自觉维护祖国统一和民族团结，积极引导宗教与社会主义社会相适应。</w:t>
      </w:r>
    </w:p>
    <w:p w14:paraId="61E82F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2、组织尼姑研习佛经，继承和弘扬符合社会进步的佛教文化，积极培养爱国进步、遵纪守法、宗教上有学识的宗教教职人员。</w:t>
      </w:r>
    </w:p>
    <w:p w14:paraId="1AAEBB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3、坚持以寺养寺，增加寺庙收入，加强寺庙基础设施建设，不断改善尼姑的学习、生活条件，减轻信教群众的负担。</w:t>
      </w:r>
    </w:p>
    <w:p w14:paraId="57E1E1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4、加强寺庙文物的保护和管理工作，根据国家和自治区有关规定，制定并落实文物保护安全责任制，明确防火、防盗职责。</w:t>
      </w:r>
    </w:p>
    <w:p w14:paraId="202AA9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5、搞好寺庙的总体规划，组织尼姑植树造林，美化环境，讲究环境卫生和个人卫生，使寺庙成为和谐、清洁、幽静的佛教圣地。</w:t>
      </w:r>
    </w:p>
    <w:p w14:paraId="3EFF9B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6、做好孤寡老尼姑的生活保障工作。照顾患有重病的尼姑，努力解决尼姑就医和生活方面的实际困难。</w:t>
      </w:r>
    </w:p>
    <w:p w14:paraId="562A83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7、热情接待国内外朝佛人员、旅游者，正确宣传西藏历史，正确宣传佛教历史文化，严守外事纪律和宣传纪律。</w:t>
      </w:r>
    </w:p>
    <w:p w14:paraId="61393E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二、部门（单位）机构设置情况</w:t>
      </w:r>
    </w:p>
    <w:p w14:paraId="65D3C1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当雄县羊八井寺管理委员会编制人数10人，在职人数10人。</w:t>
      </w:r>
    </w:p>
    <w:p w14:paraId="74ABB6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04EE2D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shd w:val="clear" w:fill="FFFFFF"/>
        </w:rPr>
      </w:pPr>
    </w:p>
    <w:p w14:paraId="41E584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409B81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3E102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年本部门收入预算476.93万元，比上年增加18.71万元，上涨4.08%，主要原因是：项目支出增加；支出预算</w:t>
      </w:r>
      <w:r>
        <w:rPr>
          <w:rFonts w:hint="eastAsia" w:ascii="微软雅黑" w:hAnsi="微软雅黑" w:eastAsia="微软雅黑" w:cs="微软雅黑"/>
          <w:i w:val="0"/>
          <w:iCs w:val="0"/>
          <w:caps w:val="0"/>
          <w:color w:val="333333"/>
          <w:spacing w:val="0"/>
          <w:sz w:val="24"/>
          <w:szCs w:val="24"/>
          <w:shd w:val="clear" w:fill="FFFFFF"/>
        </w:rPr>
        <w:t>476.93万元，比上年增加18.71万元，上涨4.08%</w:t>
      </w:r>
      <w:r>
        <w:rPr>
          <w:rFonts w:hint="eastAsia" w:ascii="微软雅黑" w:hAnsi="微软雅黑" w:eastAsia="微软雅黑" w:cs="微软雅黑"/>
          <w:i w:val="0"/>
          <w:iCs w:val="0"/>
          <w:caps w:val="0"/>
          <w:color w:val="333333"/>
          <w:spacing w:val="0"/>
          <w:sz w:val="24"/>
          <w:szCs w:val="24"/>
          <w:shd w:val="clear" w:fill="FFFFFF"/>
        </w:rPr>
        <w:t>，主要原因是：项目支出增加。</w:t>
      </w:r>
    </w:p>
    <w:p w14:paraId="3C3FF1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7D27CA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年本部门财政拨款安排“三公”经费6万元，比上年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4.4万元，</w:t>
      </w:r>
      <w:r>
        <w:rPr>
          <w:rFonts w:hint="eastAsia" w:ascii="微软雅黑" w:hAnsi="微软雅黑" w:eastAsia="微软雅黑" w:cs="微软雅黑"/>
          <w:i w:val="0"/>
          <w:iCs w:val="0"/>
          <w:caps w:val="0"/>
          <w:color w:val="333333"/>
          <w:spacing w:val="0"/>
          <w:sz w:val="24"/>
          <w:szCs w:val="24"/>
          <w:shd w:val="clear" w:fill="FFFFFF"/>
          <w:lang w:val="en-US" w:eastAsia="zh-CN"/>
        </w:rPr>
        <w:t>下降</w:t>
      </w:r>
      <w:r>
        <w:rPr>
          <w:rFonts w:hint="eastAsia" w:ascii="微软雅黑" w:hAnsi="微软雅黑" w:eastAsia="微软雅黑" w:cs="微软雅黑"/>
          <w:i w:val="0"/>
          <w:iCs w:val="0"/>
          <w:caps w:val="0"/>
          <w:color w:val="333333"/>
          <w:spacing w:val="0"/>
          <w:sz w:val="24"/>
          <w:szCs w:val="24"/>
          <w:shd w:val="clear" w:fill="FFFFFF"/>
        </w:rPr>
        <w:t>42.31%，主要原因是：出差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。其中：因公出国（境）0万元，与上年持平；公务用车购置及运行维护费6万元（公务用车购置费0万元，与上年持平；公务用车运行维护费6万元，比上年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2.6万元，</w:t>
      </w:r>
      <w:r>
        <w:rPr>
          <w:rFonts w:hint="eastAsia" w:ascii="微软雅黑" w:hAnsi="微软雅黑" w:eastAsia="微软雅黑" w:cs="微软雅黑"/>
          <w:i w:val="0"/>
          <w:iCs w:val="0"/>
          <w:caps w:val="0"/>
          <w:color w:val="333333"/>
          <w:spacing w:val="0"/>
          <w:sz w:val="24"/>
          <w:szCs w:val="24"/>
          <w:shd w:val="clear" w:fill="FFFFFF"/>
          <w:lang w:val="en-US" w:eastAsia="zh-CN"/>
        </w:rPr>
        <w:t>下降</w:t>
      </w:r>
      <w:r>
        <w:rPr>
          <w:rFonts w:hint="eastAsia" w:ascii="微软雅黑" w:hAnsi="微软雅黑" w:eastAsia="微软雅黑" w:cs="微软雅黑"/>
          <w:i w:val="0"/>
          <w:iCs w:val="0"/>
          <w:caps w:val="0"/>
          <w:color w:val="333333"/>
          <w:spacing w:val="0"/>
          <w:sz w:val="24"/>
          <w:szCs w:val="24"/>
          <w:shd w:val="clear" w:fill="FFFFFF"/>
        </w:rPr>
        <w:t>30.23%，主要原因是：出差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。）比上年</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2.6万元，</w:t>
      </w:r>
      <w:r>
        <w:rPr>
          <w:rFonts w:hint="eastAsia" w:ascii="微软雅黑" w:hAnsi="微软雅黑" w:eastAsia="微软雅黑" w:cs="微软雅黑"/>
          <w:i w:val="0"/>
          <w:iCs w:val="0"/>
          <w:caps w:val="0"/>
          <w:color w:val="333333"/>
          <w:spacing w:val="0"/>
          <w:sz w:val="24"/>
          <w:szCs w:val="24"/>
          <w:shd w:val="clear" w:fill="FFFFFF"/>
          <w:lang w:val="en-US" w:eastAsia="zh-CN"/>
        </w:rPr>
        <w:t>下降</w:t>
      </w:r>
      <w:r>
        <w:rPr>
          <w:rFonts w:hint="eastAsia" w:ascii="微软雅黑" w:hAnsi="微软雅黑" w:eastAsia="微软雅黑" w:cs="微软雅黑"/>
          <w:i w:val="0"/>
          <w:iCs w:val="0"/>
          <w:caps w:val="0"/>
          <w:color w:val="333333"/>
          <w:spacing w:val="0"/>
          <w:sz w:val="24"/>
          <w:szCs w:val="24"/>
          <w:shd w:val="clear" w:fill="FFFFFF"/>
        </w:rPr>
        <w:t>30.23</w:t>
      </w:r>
      <w:r>
        <w:rPr>
          <w:rFonts w:hint="eastAsia" w:ascii="微软雅黑" w:hAnsi="微软雅黑" w:eastAsia="微软雅黑" w:cs="微软雅黑"/>
          <w:i w:val="0"/>
          <w:iCs w:val="0"/>
          <w:caps w:val="0"/>
          <w:color w:val="333333"/>
          <w:spacing w:val="0"/>
          <w:sz w:val="24"/>
          <w:szCs w:val="24"/>
          <w:shd w:val="clear" w:fill="FFFFFF"/>
        </w:rPr>
        <w:t>%，主要原因是：</w:t>
      </w:r>
      <w:r>
        <w:rPr>
          <w:rFonts w:hint="eastAsia" w:ascii="微软雅黑" w:hAnsi="微软雅黑" w:eastAsia="微软雅黑" w:cs="微软雅黑"/>
          <w:i w:val="0"/>
          <w:iCs w:val="0"/>
          <w:caps w:val="0"/>
          <w:color w:val="333333"/>
          <w:spacing w:val="0"/>
          <w:sz w:val="24"/>
          <w:szCs w:val="24"/>
          <w:shd w:val="clear" w:fill="FFFFFF"/>
        </w:rPr>
        <w:t>出差</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减少1.8</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下降100</w:t>
      </w:r>
      <w:r>
        <w:rPr>
          <w:rFonts w:hint="eastAsia" w:ascii="微软雅黑" w:hAnsi="微软雅黑" w:eastAsia="微软雅黑" w:cs="微软雅黑"/>
          <w:i w:val="0"/>
          <w:iCs w:val="0"/>
          <w:caps w:val="0"/>
          <w:color w:val="333333"/>
          <w:spacing w:val="0"/>
          <w:sz w:val="24"/>
          <w:szCs w:val="24"/>
          <w:shd w:val="clear" w:fill="FFFFFF"/>
        </w:rPr>
        <w:t>%，主要原因是：公务接待次数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0F80E3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122A6A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年，本部门机关运行经费安排36.94万元，比上年增加9.31万元，上涨33.70%%。</w:t>
      </w:r>
    </w:p>
    <w:p w14:paraId="0EED7A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1C7608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万元，其中：货物类采购预算</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万元，工程类采购预算0万元，服务类采购预算0万元等。</w:t>
      </w:r>
    </w:p>
    <w:p w14:paraId="6193E9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065074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年1月20日，本部门固定资产构成情况为：房屋1220平方米，车辆2辆，本年度拟购置固定资产无。</w:t>
      </w:r>
    </w:p>
    <w:p w14:paraId="582C8F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29A9A2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2</w:t>
      </w:r>
      <w:r>
        <w:rPr>
          <w:rFonts w:hint="eastAsia" w:ascii="微软雅黑" w:hAnsi="微软雅黑" w:eastAsia="微软雅黑" w:cs="微软雅黑"/>
          <w:i w:val="0"/>
          <w:iCs w:val="0"/>
          <w:caps w:val="0"/>
          <w:color w:val="333333"/>
          <w:spacing w:val="0"/>
          <w:sz w:val="24"/>
          <w:szCs w:val="24"/>
          <w:shd w:val="clear" w:fill="FFFFFF"/>
        </w:rPr>
        <w:t>个，资金9</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万元，实现项目支出绩效目标管理全覆盖。其中本部门重点项目绩效目标情况如下：县级干部专项经费4</w:t>
      </w:r>
      <w:r>
        <w:rPr>
          <w:rFonts w:hint="eastAsia" w:ascii="微软雅黑" w:hAnsi="微软雅黑" w:eastAsia="微软雅黑" w:cs="微软雅黑"/>
          <w:i w:val="0"/>
          <w:iCs w:val="0"/>
          <w:caps w:val="0"/>
          <w:color w:val="333333"/>
          <w:spacing w:val="0"/>
          <w:sz w:val="24"/>
          <w:szCs w:val="24"/>
          <w:shd w:val="clear" w:fill="FFFFFF"/>
          <w:lang w:val="en-US" w:eastAsia="zh-CN"/>
        </w:rPr>
        <w:t>万元、机动经费5万元。</w:t>
      </w:r>
      <w:r>
        <w:rPr>
          <w:rFonts w:hint="eastAsia" w:ascii="微软雅黑" w:hAnsi="微软雅黑" w:eastAsia="微软雅黑" w:cs="微软雅黑"/>
          <w:i w:val="0"/>
          <w:iCs w:val="0"/>
          <w:caps w:val="0"/>
          <w:color w:val="333333"/>
          <w:spacing w:val="0"/>
          <w:sz w:val="24"/>
          <w:szCs w:val="24"/>
          <w:shd w:val="clear" w:fill="FFFFFF"/>
        </w:rPr>
        <w:t> </w:t>
      </w:r>
    </w:p>
    <w:p w14:paraId="6F8EF3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4C73F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本单位无政府债务情况。</w:t>
      </w:r>
    </w:p>
    <w:p w14:paraId="37F2D8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1D0CBE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0AAEF6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3C6A7B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7886BD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5946D0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506673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17879E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528FCA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6D3947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308A98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6B2C3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6CF2A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03A10"/>
    <w:rsid w:val="09097FE0"/>
    <w:rsid w:val="0B5D0834"/>
    <w:rsid w:val="112A0F34"/>
    <w:rsid w:val="1277445A"/>
    <w:rsid w:val="183171BE"/>
    <w:rsid w:val="18E6186A"/>
    <w:rsid w:val="20E17D82"/>
    <w:rsid w:val="211D68E2"/>
    <w:rsid w:val="27DE0B74"/>
    <w:rsid w:val="2C784B05"/>
    <w:rsid w:val="2D1E5293"/>
    <w:rsid w:val="30216B85"/>
    <w:rsid w:val="43BD07B0"/>
    <w:rsid w:val="52FA40B1"/>
    <w:rsid w:val="5CA31609"/>
    <w:rsid w:val="5E277206"/>
    <w:rsid w:val="6505684A"/>
    <w:rsid w:val="7B186900"/>
    <w:rsid w:val="7BE13DCA"/>
    <w:rsid w:val="7C63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2325</Words>
  <Characters>2479</Characters>
  <Lines>0</Lines>
  <Paragraphs>0</Paragraphs>
  <TotalTime>3</TotalTime>
  <ScaleCrop>false</ScaleCrop>
  <LinksUpToDate>false</LinksUpToDate>
  <CharactersWithSpaces>2481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2026-02-24T17:11:33Z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D90B49F1DD10493A8230BD0579ECE0B8_13</vt:lpwstr>
  </property>
</Properties>
</file>