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49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第一部分 纳木错—念青唐古拉山风景名胜区管理局概况</w:t>
      </w:r>
    </w:p>
    <w:p w14:paraId="006962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3697B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393BF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556BF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2F160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03790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175C3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46CC6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001E9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1EF14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14642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65CA7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13495D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第一部分 纳木错—念青唐古拉山风景名胜区管理局概况</w:t>
      </w:r>
    </w:p>
    <w:p w14:paraId="7E8FC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BD696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1、贯彻执行国家、自治区有关自然保护区、风景名胜区法律法规和方针政策。</w:t>
      </w:r>
    </w:p>
    <w:p w14:paraId="57712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2、制定自然保护区、风景名胜区的各项管理制度。</w:t>
      </w:r>
    </w:p>
    <w:p w14:paraId="2D68A0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3、调查自然资源并建立档案，组织环境监测，保护自然保护区内的自然环境和自然资源。</w:t>
      </w:r>
    </w:p>
    <w:p w14:paraId="7EEE9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4、组织或者协调有关部门开展自然保护区科学研究工作。</w:t>
      </w:r>
    </w:p>
    <w:p w14:paraId="7ECCA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5、进行自然保护宣传教育。</w:t>
      </w:r>
    </w:p>
    <w:p w14:paraId="7A199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6、做好风景名社区的保护、利用和管理工作。</w:t>
      </w:r>
    </w:p>
    <w:p w14:paraId="5A15A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7、在不影响自然保护区自然环境和自然资源的前提下，组织开展生态旅游等活动。</w:t>
      </w:r>
    </w:p>
    <w:p w14:paraId="1ED5E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1294CD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纳木错—念青唐古拉山风景名胜区管理局1个行政机构，下设纳木错—念青唐古拉山风景名胜区管理局局长办公室和副局长办公室。</w:t>
      </w:r>
    </w:p>
    <w:p w14:paraId="4C4E7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759EDF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shd w:val="clear" w:fill="FFFFFF"/>
        </w:rPr>
      </w:pPr>
    </w:p>
    <w:p w14:paraId="02474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7BC61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23B7C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年本部门收入预算210.84万元，比上年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增加42.28</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上升25.08%</w:t>
      </w:r>
      <w:r>
        <w:rPr>
          <w:rFonts w:hint="eastAsia" w:ascii="微软雅黑" w:hAnsi="微软雅黑" w:eastAsia="微软雅黑" w:cs="微软雅黑"/>
          <w:i w:val="0"/>
          <w:iCs w:val="0"/>
          <w:caps w:val="0"/>
          <w:color w:val="333333"/>
          <w:spacing w:val="0"/>
          <w:sz w:val="24"/>
          <w:szCs w:val="24"/>
          <w:shd w:val="clear" w:fill="FFFFFF"/>
        </w:rPr>
        <w:t>，主要原因是：项目支出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；支出预算</w:t>
      </w:r>
      <w:r>
        <w:rPr>
          <w:rFonts w:hint="eastAsia" w:ascii="微软雅黑" w:hAnsi="微软雅黑" w:eastAsia="微软雅黑" w:cs="微软雅黑"/>
          <w:i w:val="0"/>
          <w:iCs w:val="0"/>
          <w:caps w:val="0"/>
          <w:color w:val="333333"/>
          <w:spacing w:val="0"/>
          <w:sz w:val="24"/>
          <w:szCs w:val="24"/>
          <w:shd w:val="clear" w:fill="FFFFFF"/>
        </w:rPr>
        <w:t>210.84万元，比上年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增加42.28</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上升25.08%</w:t>
      </w:r>
      <w:r>
        <w:rPr>
          <w:rFonts w:hint="eastAsia" w:ascii="微软雅黑" w:hAnsi="微软雅黑" w:eastAsia="微软雅黑" w:cs="微软雅黑"/>
          <w:i w:val="0"/>
          <w:iCs w:val="0"/>
          <w:caps w:val="0"/>
          <w:color w:val="333333"/>
          <w:spacing w:val="0"/>
          <w:sz w:val="24"/>
          <w:szCs w:val="24"/>
          <w:shd w:val="clear" w:fill="FFFFFF"/>
        </w:rPr>
        <w:t>，主要原因是：项目支出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w:t>
      </w:r>
    </w:p>
    <w:p w14:paraId="6713F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49E81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1.8万元，比上年减少0.23万元，下降11.33%，主要原因是：出差减少，以至公务用车次数减少。其中：因公出国（境）0万元，与上年持平；公务用车购置及运行维护费1.80万元（公务用车购置费0万元，与上年持平；公务用车运行维护费1.80万元，比上年减少0.36万元，下降16.67%，主要原因是：出差减少，以至公务用车次数减少。）比上年减少0.36万元，下降16.67%，主要原因是：出差减少，以至公务用车次数减少；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万元，比上年减少0.23万元，下降</w:t>
      </w:r>
      <w:r>
        <w:rPr>
          <w:rFonts w:hint="eastAsia" w:ascii="微软雅黑" w:hAnsi="微软雅黑" w:eastAsia="微软雅黑" w:cs="微软雅黑"/>
          <w:i w:val="0"/>
          <w:iCs w:val="0"/>
          <w:caps w:val="0"/>
          <w:color w:val="333333"/>
          <w:spacing w:val="0"/>
          <w:sz w:val="24"/>
          <w:szCs w:val="24"/>
          <w:shd w:val="clear" w:fill="FFFFFF"/>
          <w:lang w:val="en-US" w:eastAsia="zh-CN"/>
        </w:rPr>
        <w:t>100</w:t>
      </w:r>
      <w:r>
        <w:rPr>
          <w:rFonts w:hint="eastAsia" w:ascii="微软雅黑" w:hAnsi="微软雅黑" w:eastAsia="微软雅黑" w:cs="微软雅黑"/>
          <w:i w:val="0"/>
          <w:iCs w:val="0"/>
          <w:caps w:val="0"/>
          <w:color w:val="333333"/>
          <w:spacing w:val="0"/>
          <w:sz w:val="24"/>
          <w:szCs w:val="24"/>
          <w:shd w:val="clear" w:fill="FFFFFF"/>
        </w:rPr>
        <w:t>%，主要原因是：公务接待次数减少。</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0A8569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1E415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年，本部门机关运行经费安排16.22万元，比上年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增加7.14</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上升78.63%</w:t>
      </w:r>
      <w:r>
        <w:rPr>
          <w:rFonts w:hint="eastAsia" w:ascii="微软雅黑" w:hAnsi="微软雅黑" w:eastAsia="微软雅黑" w:cs="微软雅黑"/>
          <w:i w:val="0"/>
          <w:iCs w:val="0"/>
          <w:caps w:val="0"/>
          <w:color w:val="333333"/>
          <w:spacing w:val="0"/>
          <w:sz w:val="24"/>
          <w:szCs w:val="24"/>
          <w:shd w:val="clear" w:fill="FFFFFF"/>
        </w:rPr>
        <w:t>。</w:t>
      </w:r>
    </w:p>
    <w:p w14:paraId="39A1E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3E569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万元，其中：货物类采购预算0万元，工程类采购预算0万元，服务类采购预算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万元等。</w:t>
      </w:r>
    </w:p>
    <w:p w14:paraId="7176A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5EC6ED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年1月20日，本部门固定资产构成情况为：房屋0平方米，车辆0辆，本年度拟购置固定资产无。</w:t>
      </w:r>
    </w:p>
    <w:p w14:paraId="0D5EF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4297F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w:t>
      </w:r>
    </w:p>
    <w:p w14:paraId="06FCF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5CA5E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70130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6CD2D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0F062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4B6E6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3962E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27BCE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5E714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80D8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0FC19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14997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056DE5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5B7E0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369B3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十二、重点项目：贯彻落实自治区党委、政府重大方针政策和决策部署的项目，覆盖面广、影响力大、社会关注度高、实施期长的项目，或与本部门职能职责密切相关的项目或预算安排支出相对较大的项目。 </w:t>
      </w:r>
    </w:p>
    <w:p w14:paraId="287BED14">
      <w:pPr>
        <w:ind w:firstLine="42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6186A"/>
    <w:rsid w:val="6537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2230</Words>
  <Characters>2366</Characters>
  <Lines>0</Lines>
  <Paragraphs>0</Paragraphs>
  <TotalTime>3</TotalTime>
  <ScaleCrop>false</ScaleCrop>
  <LinksUpToDate>false</LinksUpToDate>
  <CharactersWithSpaces>2368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2026-02-24T15:41:41Z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7B6726038AD44FC28D53B90D82F37D07_13</vt:lpwstr>
  </property>
</Properties>
</file>