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6C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第一部分 拉萨市中国人民政治协商会议当雄县委员会概况</w:t>
      </w:r>
    </w:p>
    <w:p w14:paraId="42A3C1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5668AE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二、部门预算构成</w:t>
      </w:r>
    </w:p>
    <w:p w14:paraId="1BFC6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79FEF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5F8D99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1757F2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2779E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4B9AF0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01435C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7C72D5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0D8A4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06CF5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3DD700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第一部分 拉萨市中国人民政治协商会议当雄县委员会概况</w:t>
      </w:r>
    </w:p>
    <w:p w14:paraId="55A303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325D4A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1.负责县政协党组会议、全体会议、主席会议、常委会议以及其他会议和活动的组织、协调、服务和保障工作。</w:t>
      </w:r>
    </w:p>
    <w:p w14:paraId="406B2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2.负责县政协党组会议、全体会议、主席会议、常委会议有关决议和决定的组织实施，抓好县委有关决策的贯彻落实。</w:t>
      </w:r>
    </w:p>
    <w:p w14:paraId="36FD79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3.负责政协提案的收集、交办、督办等工作；负责开展专项视察、调研活动，及时形成专报呈送县委、县政府。</w:t>
      </w:r>
    </w:p>
    <w:p w14:paraId="46AE9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4.负责与政协委员的联系，做好政协委员的视察、调研、学习、会议等活动和县政协委员座谈会的联络、组织和服务工作。</w:t>
      </w:r>
    </w:p>
    <w:p w14:paraId="74FEA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5.负责与区内外各级政协的联络联系工作，开展对外友好交往活动；负责做好与县委、人大、政府办公室和有关部门的沟通、联系、协调工作。</w:t>
      </w:r>
    </w:p>
    <w:p w14:paraId="75AC18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6.负责县政协机关公文处理、文书档案、机要保密等工作；负责县政协机关组织人事、机构编制、财务管理、信息公开、对外宣传、后勤保障等事务工作；负责县政协机关自身建设工作。</w:t>
      </w:r>
    </w:p>
    <w:p w14:paraId="44E54F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7.依照《政协章程》的有关规定，负责政协日常工作，完成县委交办的其他任务。</w:t>
      </w:r>
    </w:p>
    <w:p w14:paraId="5D2104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二、部门预算构成</w:t>
      </w:r>
    </w:p>
    <w:p w14:paraId="1FF1F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中国人民政治协商会议当雄县委员会为正科级，列当雄县委工作机关序列。</w:t>
      </w:r>
    </w:p>
    <w:p w14:paraId="68B2A3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2D672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shd w:val="clear" w:fill="FFFFFF"/>
        </w:rPr>
      </w:pPr>
    </w:p>
    <w:p w14:paraId="12911B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555C07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578492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年本部门收入预算563.28万元，比上年增加101.64万元，上涨22.02%，主要原因是：项目支出增加；支出预算</w:t>
      </w:r>
      <w:r>
        <w:rPr>
          <w:rFonts w:hint="eastAsia" w:ascii="微软雅黑" w:hAnsi="微软雅黑" w:eastAsia="微软雅黑" w:cs="微软雅黑"/>
          <w:i w:val="0"/>
          <w:iCs w:val="0"/>
          <w:caps w:val="0"/>
          <w:color w:val="333333"/>
          <w:spacing w:val="0"/>
          <w:sz w:val="24"/>
          <w:szCs w:val="24"/>
          <w:shd w:val="clear" w:fill="FFFFFF"/>
        </w:rPr>
        <w:t>563.28万元，比上年增加101.64万元，上涨22.02%</w:t>
      </w:r>
      <w:r>
        <w:rPr>
          <w:rFonts w:hint="eastAsia" w:ascii="微软雅黑" w:hAnsi="微软雅黑" w:eastAsia="微软雅黑" w:cs="微软雅黑"/>
          <w:i w:val="0"/>
          <w:iCs w:val="0"/>
          <w:caps w:val="0"/>
          <w:color w:val="333333"/>
          <w:spacing w:val="0"/>
          <w:sz w:val="24"/>
          <w:szCs w:val="24"/>
          <w:shd w:val="clear" w:fill="FFFFFF"/>
        </w:rPr>
        <w:t>，主要原因是：项目支出增加。</w:t>
      </w:r>
    </w:p>
    <w:p w14:paraId="65D40C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721043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11.5万元，比上年减少2.55万元，下降18.15%，主要原因是：出差减少，以至公务用车次数减少。其中：因公出国（境）0万元，与上年持平；公务用车购置及运行维护费11.5万元（公务用车购置费0万元，与上年持平；公务用车运行维护费11.5万元，比上年减少2.1万元。）比上年减少</w:t>
      </w:r>
      <w:r>
        <w:rPr>
          <w:rFonts w:hint="eastAsia" w:ascii="微软雅黑" w:hAnsi="微软雅黑" w:eastAsia="微软雅黑" w:cs="微软雅黑"/>
          <w:i w:val="0"/>
          <w:iCs w:val="0"/>
          <w:caps w:val="0"/>
          <w:color w:val="333333"/>
          <w:spacing w:val="0"/>
          <w:sz w:val="24"/>
          <w:szCs w:val="24"/>
          <w:shd w:val="clear" w:fill="FFFFFF"/>
        </w:rPr>
        <w:t>2.1</w:t>
      </w:r>
      <w:r>
        <w:rPr>
          <w:rFonts w:hint="eastAsia" w:ascii="微软雅黑" w:hAnsi="微软雅黑" w:eastAsia="微软雅黑" w:cs="微软雅黑"/>
          <w:i w:val="0"/>
          <w:iCs w:val="0"/>
          <w:caps w:val="0"/>
          <w:color w:val="333333"/>
          <w:spacing w:val="0"/>
          <w:sz w:val="24"/>
          <w:szCs w:val="24"/>
          <w:shd w:val="clear" w:fill="FFFFFF"/>
        </w:rPr>
        <w:t>万元，下降15.44%%，主要原因是：出差减少，以至公务用车次数减少；公务接待费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减少0.45</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下降100</w:t>
      </w:r>
      <w:r>
        <w:rPr>
          <w:rFonts w:hint="eastAsia" w:ascii="微软雅黑" w:hAnsi="微软雅黑" w:eastAsia="微软雅黑" w:cs="微软雅黑"/>
          <w:i w:val="0"/>
          <w:iCs w:val="0"/>
          <w:caps w:val="0"/>
          <w:color w:val="333333"/>
          <w:spacing w:val="0"/>
          <w:sz w:val="24"/>
          <w:szCs w:val="24"/>
          <w:shd w:val="clear" w:fill="FFFFFF"/>
        </w:rPr>
        <w:t>%，主要原因是：公务接待人数及次数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714A2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28AA5A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年，本部门机关运行经费安排32.5万元，比上年增加12.97万元，上涨66.41%。</w:t>
      </w:r>
    </w:p>
    <w:p w14:paraId="1436CA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0E0A6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年本部门政府采购安排0万元，其中：货物类采购预算0万元，工程类采购预算0万元，服务类采购预算0万元等。</w:t>
      </w:r>
    </w:p>
    <w:p w14:paraId="6D4BBF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2044A0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年1月20日，本部门固定资产构成情况为：房屋0平方米，车辆2辆，本年度拟购置固定资产无。</w:t>
      </w:r>
    </w:p>
    <w:p w14:paraId="6EF327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600C2C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万元，实现项目支出绩效目标管理全覆盖。其中本部门重点项目绩效目标情况如下： </w:t>
      </w:r>
    </w:p>
    <w:p w14:paraId="6FD6AE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312606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2C969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5335E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55BAC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303174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7911D2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4F4D7F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0014F1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5B6B20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583B31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2D3E8E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5DC4BA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30DFC0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03469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52864"/>
    <w:rsid w:val="04303A10"/>
    <w:rsid w:val="09097FE0"/>
    <w:rsid w:val="0B083329"/>
    <w:rsid w:val="0B5D0834"/>
    <w:rsid w:val="112A0F34"/>
    <w:rsid w:val="1277445A"/>
    <w:rsid w:val="14262E9B"/>
    <w:rsid w:val="183171BE"/>
    <w:rsid w:val="18E6186A"/>
    <w:rsid w:val="20E17D82"/>
    <w:rsid w:val="211D68E2"/>
    <w:rsid w:val="27DE0B74"/>
    <w:rsid w:val="2BA35DA7"/>
    <w:rsid w:val="2C784B05"/>
    <w:rsid w:val="2D1E5293"/>
    <w:rsid w:val="2E51438B"/>
    <w:rsid w:val="30216B85"/>
    <w:rsid w:val="40854466"/>
    <w:rsid w:val="42F06ADE"/>
    <w:rsid w:val="43BD07B0"/>
    <w:rsid w:val="48441E9E"/>
    <w:rsid w:val="4CB571EA"/>
    <w:rsid w:val="52016097"/>
    <w:rsid w:val="52FA40B1"/>
    <w:rsid w:val="5CA31609"/>
    <w:rsid w:val="5CB376A5"/>
    <w:rsid w:val="5E277206"/>
    <w:rsid w:val="601A7636"/>
    <w:rsid w:val="626A6A10"/>
    <w:rsid w:val="6358588A"/>
    <w:rsid w:val="6505684A"/>
    <w:rsid w:val="686B6B5C"/>
    <w:rsid w:val="6BB875C8"/>
    <w:rsid w:val="6C0079BC"/>
    <w:rsid w:val="71DD525F"/>
    <w:rsid w:val="76047BAD"/>
    <w:rsid w:val="7B186900"/>
    <w:rsid w:val="7BE1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2280</Words>
  <Characters>2414</Characters>
  <Lines>0</Lines>
  <Paragraphs>0</Paragraphs>
  <TotalTime>3</TotalTime>
  <ScaleCrop>false</ScaleCrop>
  <LinksUpToDate>false</LinksUpToDate>
  <CharactersWithSpaces>2415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2026-02-24T17:39:53Z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22515FDFD48B41CBB310A3EEF521FD83_13</vt:lpwstr>
  </property>
</Properties>
</file>